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  <w:jc w:val="right"/>
      </w:pPr>
      <w:r>
        <w:t>Утверждена</w:t>
      </w:r>
    </w:p>
    <w:p w:rsidR="00000000" w:rsidRDefault="004F505B">
      <w:pPr>
        <w:pStyle w:val="a3"/>
        <w:jc w:val="right"/>
      </w:pPr>
      <w:r>
        <w:t>постановлением Правительства</w:t>
      </w:r>
    </w:p>
    <w:p w:rsidR="00000000" w:rsidRDefault="004F505B">
      <w:pPr>
        <w:pStyle w:val="a3"/>
        <w:jc w:val="right"/>
      </w:pPr>
      <w:r>
        <w:t>Республики Таджикистан</w:t>
      </w:r>
    </w:p>
    <w:p w:rsidR="00000000" w:rsidRDefault="004F505B">
      <w:pPr>
        <w:pStyle w:val="a3"/>
        <w:jc w:val="right"/>
      </w:pPr>
      <w:hyperlink r:id="rId4" w:tgtFrame="_blank" w:history="1">
        <w:r>
          <w:rPr>
            <w:rStyle w:val="a4"/>
          </w:rPr>
          <w:t>от 30 августа 2011 года, № 409</w:t>
        </w:r>
      </w:hyperlink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  <w:jc w:val="center"/>
      </w:pPr>
      <w:r>
        <w:rPr>
          <w:rStyle w:val="a6"/>
        </w:rPr>
        <w:t>ПРОГРАММА</w:t>
      </w:r>
    </w:p>
    <w:p w:rsidR="00000000" w:rsidRDefault="004F505B">
      <w:pPr>
        <w:pStyle w:val="a3"/>
        <w:jc w:val="center"/>
      </w:pPr>
      <w:r>
        <w:rPr>
          <w:rStyle w:val="a6"/>
        </w:rPr>
        <w:t>РАЗВИТИЯ ШЕЛКОВОДСТВА И ПЕРЕРАБОТКИ КОКОНОВ ТУТОВОГО ШЕЛКОПРЯДА В РЕСПУБЛИКЕ ТАДЖИКИСТАН НА 2012-2020 ГОДЫ</w:t>
      </w:r>
    </w:p>
    <w:p w:rsidR="00000000" w:rsidRDefault="004F505B">
      <w:pPr>
        <w:pStyle w:val="a3"/>
        <w:jc w:val="center"/>
      </w:pPr>
      <w:r>
        <w:rPr>
          <w:rStyle w:val="a6"/>
        </w:rPr>
        <w:t> </w:t>
      </w:r>
    </w:p>
    <w:p w:rsidR="00000000" w:rsidRDefault="004F505B">
      <w:pPr>
        <w:pStyle w:val="a3"/>
        <w:jc w:val="center"/>
      </w:pPr>
      <w:r>
        <w:rPr>
          <w:rStyle w:val="a6"/>
        </w:rPr>
        <w:t>СПИСОК СОКРАЩЕНИЙ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СП     Совместное предприятие</w:t>
      </w:r>
    </w:p>
    <w:p w:rsidR="00000000" w:rsidRDefault="004F505B">
      <w:pPr>
        <w:pStyle w:val="a3"/>
      </w:pPr>
      <w:r>
        <w:t>Г      Город</w:t>
      </w:r>
    </w:p>
    <w:p w:rsidR="00000000" w:rsidRDefault="004F505B">
      <w:pPr>
        <w:pStyle w:val="a3"/>
      </w:pPr>
      <w:r>
        <w:t>ГУП    Государственное унитарное предприятие</w:t>
      </w:r>
    </w:p>
    <w:p w:rsidR="00000000" w:rsidRDefault="004F505B">
      <w:pPr>
        <w:pStyle w:val="a3"/>
      </w:pPr>
      <w:r>
        <w:t>АООТ   Акционерное общество открытого т</w:t>
      </w:r>
      <w:r>
        <w:t>ипа</w:t>
      </w:r>
    </w:p>
    <w:p w:rsidR="00000000" w:rsidRDefault="004F505B">
      <w:pPr>
        <w:pStyle w:val="a3"/>
      </w:pPr>
      <w:r>
        <w:t>Т1 Т2  Таджикистан-1, Таджикистан-2</w:t>
      </w:r>
    </w:p>
    <w:p w:rsidR="00000000" w:rsidRDefault="004F505B">
      <w:pPr>
        <w:pStyle w:val="a3"/>
      </w:pPr>
      <w:r>
        <w:t>X1 Х2  Худжанд-1, Худжанд-2</w:t>
      </w:r>
    </w:p>
    <w:p w:rsidR="00000000" w:rsidRDefault="004F505B">
      <w:pPr>
        <w:pStyle w:val="a3"/>
      </w:pPr>
      <w:r>
        <w:t>ВТ     Вьетнам - Таджикистан</w:t>
      </w:r>
    </w:p>
    <w:p w:rsidR="00000000" w:rsidRDefault="004F505B">
      <w:pPr>
        <w:pStyle w:val="a3"/>
      </w:pPr>
      <w:r>
        <w:t>ДП     Дочернее предприятие</w:t>
      </w:r>
    </w:p>
    <w:p w:rsidR="00000000" w:rsidRDefault="004F505B">
      <w:pPr>
        <w:pStyle w:val="a3"/>
      </w:pPr>
      <w:r>
        <w:t>РРП    Районы республиканского подчинения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СПРАВКА</w:t>
      </w:r>
    </w:p>
    <w:p w:rsidR="00000000" w:rsidRDefault="004F505B">
      <w:pPr>
        <w:pStyle w:val="a3"/>
      </w:pPr>
      <w:r>
        <w:t>об основаниях разработки Программы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- Послание Президента Республики Таджикист</w:t>
      </w:r>
      <w:r>
        <w:t>ан Маджлиси Оли Республики Таджикистан от 20 апреля 2011 года;</w:t>
      </w:r>
    </w:p>
    <w:p w:rsidR="00000000" w:rsidRDefault="004F505B">
      <w:pPr>
        <w:pStyle w:val="a3"/>
      </w:pPr>
      <w:r>
        <w:t xml:space="preserve">- постановление Правительства Республики Таджикистан от 2 июня 2011 года, </w:t>
      </w:r>
      <w:hyperlink r:id="rId5" w:history="1">
        <w:r>
          <w:rPr>
            <w:rStyle w:val="a4"/>
          </w:rPr>
          <w:t>№ 262</w:t>
        </w:r>
      </w:hyperlink>
      <w:r>
        <w:t xml:space="preserve"> "О Плане работы Правительства Республики Таджикистан на второе полугодие 2011 год</w:t>
      </w:r>
      <w:r>
        <w:t>а";</w:t>
      </w:r>
    </w:p>
    <w:p w:rsidR="00000000" w:rsidRDefault="004F505B">
      <w:pPr>
        <w:pStyle w:val="a3"/>
      </w:pPr>
      <w:r>
        <w:t>- Поручение Правительства Республики Таджикистан от 12 апреля 2011 года, № 5068 (13-7) "О развитии шелководческой отрасли и шелковой промышленности";</w:t>
      </w:r>
    </w:p>
    <w:p w:rsidR="00000000" w:rsidRDefault="004F505B">
      <w:pPr>
        <w:pStyle w:val="a3"/>
      </w:pPr>
      <w:r>
        <w:t>- Поручение Правительства Республики Таджикистан от 30 мая 2011 года, № 7576 (13-7) "О развитии шелков</w:t>
      </w:r>
      <w:r>
        <w:t>одческой отрасли и шелковой промышленности";</w:t>
      </w:r>
    </w:p>
    <w:p w:rsidR="00000000" w:rsidRDefault="004F505B">
      <w:pPr>
        <w:pStyle w:val="a3"/>
      </w:pPr>
      <w:r>
        <w:t>- Документ стратегии снижения уровня бедности в Республике Таджикистан;</w:t>
      </w:r>
    </w:p>
    <w:p w:rsidR="00000000" w:rsidRDefault="004F505B">
      <w:pPr>
        <w:pStyle w:val="a3"/>
      </w:pPr>
      <w:r>
        <w:t xml:space="preserve">- постановление Правительства Республики Таджикистан от 4 декабря 2003 года, </w:t>
      </w:r>
      <w:hyperlink r:id="rId6" w:history="1">
        <w:r>
          <w:rPr>
            <w:rStyle w:val="a4"/>
          </w:rPr>
          <w:t>№ 523</w:t>
        </w:r>
      </w:hyperlink>
      <w:r>
        <w:t xml:space="preserve"> </w:t>
      </w:r>
      <w:r>
        <w:t>"О Концепции развития шелковой промышленности Таджикистана";</w:t>
      </w:r>
    </w:p>
    <w:p w:rsidR="00000000" w:rsidRDefault="004F505B">
      <w:pPr>
        <w:pStyle w:val="a3"/>
      </w:pPr>
      <w:r>
        <w:t xml:space="preserve">- постановление Правительства Республики Таджикистан от 7 апреля 1999 года, </w:t>
      </w:r>
      <w:hyperlink r:id="rId7" w:history="1">
        <w:r>
          <w:rPr>
            <w:rStyle w:val="a4"/>
          </w:rPr>
          <w:t>№132</w:t>
        </w:r>
      </w:hyperlink>
      <w:r>
        <w:t xml:space="preserve"> "О некоторых мерах по улучшению племенного дела в производстве породных тутовых шел</w:t>
      </w:r>
      <w:r>
        <w:t>копрядов";</w:t>
      </w:r>
    </w:p>
    <w:p w:rsidR="00000000" w:rsidRDefault="004F505B">
      <w:pPr>
        <w:pStyle w:val="a3"/>
      </w:pPr>
      <w:r>
        <w:t xml:space="preserve">- постановление Правительства Республики Таджикистан от 31 января 2001 года, </w:t>
      </w:r>
      <w:hyperlink r:id="rId8" w:history="1">
        <w:r>
          <w:rPr>
            <w:rStyle w:val="a4"/>
          </w:rPr>
          <w:t>№ 54</w:t>
        </w:r>
      </w:hyperlink>
      <w:r>
        <w:t xml:space="preserve"> "О развитии шелковой промышленности".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ВВЕДЕНИЕ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Наименование программы:</w:t>
      </w:r>
    </w:p>
    <w:p w:rsidR="00000000" w:rsidRDefault="004F505B">
      <w:pPr>
        <w:pStyle w:val="a3"/>
      </w:pPr>
      <w:r>
        <w:t>- Программа развития шелководства и переработки коконов т</w:t>
      </w:r>
      <w:r>
        <w:t>утового шелкопряда в Республике Таджикистан на 2012-2020 годы.</w:t>
      </w:r>
    </w:p>
    <w:p w:rsidR="00000000" w:rsidRDefault="004F505B">
      <w:pPr>
        <w:pStyle w:val="a3"/>
      </w:pPr>
      <w:r>
        <w:t>Основной разработчик Программы:</w:t>
      </w:r>
    </w:p>
    <w:p w:rsidR="00000000" w:rsidRDefault="004F505B">
      <w:pPr>
        <w:pStyle w:val="a3"/>
      </w:pPr>
      <w:r>
        <w:t>- Государственное унитарное предприятие "Пилла" Министерства энергетики и промышленности Республики Таджикистан.</w:t>
      </w:r>
    </w:p>
    <w:p w:rsidR="00000000" w:rsidRDefault="004F505B">
      <w:pPr>
        <w:pStyle w:val="a3"/>
      </w:pPr>
      <w:r>
        <w:t>Цель программы:</w:t>
      </w:r>
    </w:p>
    <w:p w:rsidR="00000000" w:rsidRDefault="004F505B">
      <w:pPr>
        <w:pStyle w:val="a3"/>
      </w:pPr>
      <w:r>
        <w:t>- Создание в Республике Таджикис</w:t>
      </w:r>
      <w:r>
        <w:t>тан условий и предпосылок для развития отрасли шелководства, увеличение объема производства коконов тутового шелкопряда и их полной переработки до выпуска шелковой ткани внутри республики.</w:t>
      </w:r>
    </w:p>
    <w:p w:rsidR="00000000" w:rsidRDefault="004F505B">
      <w:pPr>
        <w:pStyle w:val="a3"/>
      </w:pPr>
      <w:r>
        <w:t>Задачи Программы:</w:t>
      </w:r>
    </w:p>
    <w:p w:rsidR="00000000" w:rsidRDefault="004F505B">
      <w:pPr>
        <w:pStyle w:val="a3"/>
      </w:pPr>
      <w:r>
        <w:t>- Укрепление нормативной и правовой базы, разрабо</w:t>
      </w:r>
      <w:r>
        <w:t>тка механизмов реализации законодательных актов;</w:t>
      </w:r>
    </w:p>
    <w:p w:rsidR="00000000" w:rsidRDefault="004F505B">
      <w:pPr>
        <w:pStyle w:val="a3"/>
      </w:pPr>
      <w:r>
        <w:t>- доведение объема производства коконов к 2020 году до 3000 тонн;</w:t>
      </w:r>
    </w:p>
    <w:p w:rsidR="00000000" w:rsidRDefault="004F505B">
      <w:pPr>
        <w:pStyle w:val="a3"/>
      </w:pPr>
      <w:r>
        <w:t>- посадка тутовых саженцев в количестве 1352,0 тысяч штук;</w:t>
      </w:r>
    </w:p>
    <w:p w:rsidR="00000000" w:rsidRDefault="004F505B">
      <w:pPr>
        <w:pStyle w:val="a3"/>
      </w:pPr>
      <w:r>
        <w:t>- создание плантаций тутовника на площади 2812 гектаров;</w:t>
      </w:r>
    </w:p>
    <w:p w:rsidR="00000000" w:rsidRDefault="004F505B">
      <w:pPr>
        <w:pStyle w:val="a3"/>
      </w:pPr>
      <w:r>
        <w:t>- производство гренов тут</w:t>
      </w:r>
      <w:r>
        <w:t>ового шелкопряда до 60000 коробок;</w:t>
      </w:r>
    </w:p>
    <w:p w:rsidR="00000000" w:rsidRDefault="004F505B">
      <w:pPr>
        <w:pStyle w:val="a3"/>
      </w:pPr>
      <w:r>
        <w:t>- Переработка кокона внутри страны.</w:t>
      </w:r>
    </w:p>
    <w:p w:rsidR="00000000" w:rsidRDefault="004F505B">
      <w:pPr>
        <w:pStyle w:val="a3"/>
      </w:pPr>
      <w:r>
        <w:t>Сроки реализации программы:</w:t>
      </w:r>
    </w:p>
    <w:p w:rsidR="00000000" w:rsidRDefault="004F505B">
      <w:pPr>
        <w:pStyle w:val="a3"/>
      </w:pPr>
      <w:r>
        <w:t>-2012 -2020 годы.</w:t>
      </w:r>
    </w:p>
    <w:p w:rsidR="00000000" w:rsidRDefault="004F505B">
      <w:pPr>
        <w:pStyle w:val="a3"/>
      </w:pPr>
      <w:r>
        <w:t>Исполнители программы:</w:t>
      </w:r>
    </w:p>
    <w:p w:rsidR="00000000" w:rsidRDefault="004F505B">
      <w:pPr>
        <w:pStyle w:val="a3"/>
      </w:pPr>
      <w:r>
        <w:t>- Министерство энергетики и промышленности Республики Таджикистан;</w:t>
      </w:r>
    </w:p>
    <w:p w:rsidR="00000000" w:rsidRDefault="004F505B">
      <w:pPr>
        <w:pStyle w:val="a3"/>
      </w:pPr>
      <w:r>
        <w:t>- Министерство сельского хозяйства Республики Тад</w:t>
      </w:r>
      <w:r>
        <w:t>жикистан;</w:t>
      </w:r>
    </w:p>
    <w:p w:rsidR="00000000" w:rsidRDefault="004F505B">
      <w:pPr>
        <w:pStyle w:val="a3"/>
      </w:pPr>
      <w:r>
        <w:t>- Министерство экономического развития и торговли Республики Таджикистан;</w:t>
      </w:r>
    </w:p>
    <w:p w:rsidR="00000000" w:rsidRDefault="004F505B">
      <w:pPr>
        <w:pStyle w:val="a3"/>
      </w:pPr>
      <w:r>
        <w:t>- Министерство финансов Республики Таджикистан;</w:t>
      </w:r>
    </w:p>
    <w:p w:rsidR="00000000" w:rsidRDefault="004F505B">
      <w:pPr>
        <w:pStyle w:val="a3"/>
      </w:pPr>
      <w:r>
        <w:t>- Государственный комитет по землеустройству и геодезии;</w:t>
      </w:r>
    </w:p>
    <w:p w:rsidR="00000000" w:rsidRDefault="004F505B">
      <w:pPr>
        <w:pStyle w:val="a3"/>
      </w:pPr>
      <w:r>
        <w:t>- Налоговый комитет;</w:t>
      </w:r>
    </w:p>
    <w:p w:rsidR="00000000" w:rsidRDefault="004F505B">
      <w:pPr>
        <w:pStyle w:val="a3"/>
      </w:pPr>
      <w:r>
        <w:t>- Таможенная служба;</w:t>
      </w:r>
    </w:p>
    <w:p w:rsidR="00000000" w:rsidRDefault="004F505B">
      <w:pPr>
        <w:pStyle w:val="a3"/>
      </w:pPr>
      <w:r>
        <w:t>- Антимонопольная служба;</w:t>
      </w:r>
    </w:p>
    <w:p w:rsidR="00000000" w:rsidRDefault="004F505B">
      <w:pPr>
        <w:pStyle w:val="a3"/>
      </w:pPr>
      <w:r>
        <w:t>- Торгово-промышленная палата;</w:t>
      </w:r>
    </w:p>
    <w:p w:rsidR="00000000" w:rsidRDefault="004F505B">
      <w:pPr>
        <w:pStyle w:val="a3"/>
      </w:pPr>
      <w:r>
        <w:t>- Агентство "Таджикстандарт";</w:t>
      </w:r>
    </w:p>
    <w:p w:rsidR="00000000" w:rsidRDefault="004F505B">
      <w:pPr>
        <w:pStyle w:val="a3"/>
      </w:pPr>
      <w:r>
        <w:t>- Национальный банк Таджикистана и другие банки;</w:t>
      </w:r>
    </w:p>
    <w:p w:rsidR="00000000" w:rsidRDefault="004F505B">
      <w:pPr>
        <w:pStyle w:val="a3"/>
      </w:pPr>
      <w:r>
        <w:t>- Академия сельскохозяйственных наук Республики Таджикистан;</w:t>
      </w:r>
    </w:p>
    <w:p w:rsidR="00000000" w:rsidRDefault="004F505B">
      <w:pPr>
        <w:pStyle w:val="a3"/>
      </w:pPr>
      <w:r>
        <w:t>- Государственное унитарное предприятие "Пилла";</w:t>
      </w:r>
    </w:p>
    <w:p w:rsidR="00000000" w:rsidRDefault="004F505B">
      <w:pPr>
        <w:pStyle w:val="a3"/>
      </w:pPr>
      <w:r>
        <w:t>- Совместное предприятие "ВТ Силк";</w:t>
      </w:r>
    </w:p>
    <w:p w:rsidR="00000000" w:rsidRDefault="004F505B">
      <w:pPr>
        <w:pStyle w:val="a3"/>
      </w:pPr>
      <w:r>
        <w:t>- Совместное предприятие "ВТ Рохи Абрешим";</w:t>
      </w:r>
    </w:p>
    <w:p w:rsidR="00000000" w:rsidRDefault="004F505B">
      <w:pPr>
        <w:pStyle w:val="a3"/>
      </w:pPr>
      <w:r>
        <w:t>- ООО "Атласи Худжанд";</w:t>
      </w:r>
    </w:p>
    <w:p w:rsidR="00000000" w:rsidRDefault="004F505B">
      <w:pPr>
        <w:pStyle w:val="a3"/>
      </w:pPr>
      <w:r>
        <w:t>- Местные исполнительные органы государственной власти областей, городов и районов.</w:t>
      </w:r>
    </w:p>
    <w:p w:rsidR="00000000" w:rsidRDefault="004F505B">
      <w:pPr>
        <w:pStyle w:val="a3"/>
      </w:pPr>
      <w:r>
        <w:t>Заключительные результаты реализации Программы:</w:t>
      </w:r>
    </w:p>
    <w:p w:rsidR="00000000" w:rsidRDefault="004F505B">
      <w:pPr>
        <w:pStyle w:val="a3"/>
      </w:pPr>
      <w:r>
        <w:t>- увеличение объёма производства коконов тутового шелко</w:t>
      </w:r>
      <w:r>
        <w:t>пряда то 3000 тн;</w:t>
      </w:r>
    </w:p>
    <w:p w:rsidR="00000000" w:rsidRDefault="004F505B">
      <w:pPr>
        <w:pStyle w:val="a3"/>
      </w:pPr>
      <w:r>
        <w:t>- создание в Республике Таджикистан условий для восстановления и развития шелководческой отрасли;</w:t>
      </w:r>
    </w:p>
    <w:p w:rsidR="00000000" w:rsidRDefault="004F505B">
      <w:pPr>
        <w:pStyle w:val="a3"/>
      </w:pPr>
      <w:r>
        <w:t>- обеспечение шелководов качественной местной греной; - наращивание кормовой базы тутового шелкопряда;</w:t>
      </w:r>
    </w:p>
    <w:p w:rsidR="00000000" w:rsidRDefault="004F505B">
      <w:pPr>
        <w:pStyle w:val="a3"/>
      </w:pPr>
      <w:r>
        <w:t>- обеспечение шелкоперерабатывающих п</w:t>
      </w:r>
      <w:r>
        <w:t>редприятий сырьём высокого качества.</w:t>
      </w:r>
    </w:p>
    <w:p w:rsidR="00000000" w:rsidRDefault="004F505B">
      <w:pPr>
        <w:pStyle w:val="a3"/>
      </w:pPr>
      <w:r>
        <w:t>Порядок организации контроля исполнения Программы:</w:t>
      </w:r>
    </w:p>
    <w:p w:rsidR="00000000" w:rsidRDefault="004F505B">
      <w:pPr>
        <w:pStyle w:val="a3"/>
      </w:pPr>
      <w:r>
        <w:t>- Министерство энергетики и промышленности Республики Таджикистан два раза в год до 2020 года информирует о ходе выполнения Программы Правительство Республики Таджикист</w:t>
      </w:r>
      <w:r>
        <w:t>ан.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1. Цель Программы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Цель Программы состоит в создании в Республике Таджикистан условий для восстановления и развития шелководческой отрасли, обеспечения шелководов качественными местными гренами, увеличения объёма, производства коконов тутового шелко</w:t>
      </w:r>
      <w:r>
        <w:t>пряда, наращивания кормовой базы шелкопряда и обеспечения шелкоперерабатывающих предприятий сырьём высокого качества.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2. Нынешнее состояние отрасли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 xml:space="preserve">Шелководство считается одним из древнейших отраслей сельского хозяйства, с более 5000 - летней историей </w:t>
      </w:r>
      <w:r>
        <w:t>и охватывает тутоводство, производство гренов, коконов шелкопряда и первичную обработку коконов.</w:t>
      </w:r>
    </w:p>
    <w:p w:rsidR="00000000" w:rsidRDefault="004F505B">
      <w:pPr>
        <w:pStyle w:val="a3"/>
      </w:pPr>
      <w:r>
        <w:t>Следует отметить, что развитие шелководства непосредственно связано именно с качественной греной, своевременной раздачей оживленных шелкопрядов, соблюдением те</w:t>
      </w:r>
      <w:r>
        <w:t>хнологий выращивания шелкопряда. Также, одним из основных факторов увеличения продуктивности и качества коконов тутового шелкопряда является климат местности и питательность листьев тутовника.</w:t>
      </w:r>
    </w:p>
    <w:p w:rsidR="00000000" w:rsidRDefault="004F505B">
      <w:pPr>
        <w:pStyle w:val="a3"/>
      </w:pPr>
      <w:r>
        <w:t>Известно, что тутовый шелкопряд является листоедным насекомым и</w:t>
      </w:r>
      <w:r>
        <w:t xml:space="preserve"> очень чувствителен и нежен, что ускоряет воздействие внешних факторов и окружающей среды на его организм. В республике функционирует Дочернее предприятие племенного гренопроизводства в городе Вахдат и Дочерние предприятия по производству гренов тутового ш</w:t>
      </w:r>
      <w:r>
        <w:t>елкопряда в городах Душанбе и Худжанд, которые в случае работы на полную мощность могли бы полностью обеспечить потребность местных шелководов отечественными высококачественными гренами. К сожалению, из-за низкого качества и низкой урожайности местной грен</w:t>
      </w:r>
      <w:r>
        <w:t>ы тутового шелкопряда, в течение двух-трех последних лет инвесторы отказываются от использования и выращивания этих коконов. В связи с этим, ухудшилось экономическое и производственное состояние этих предприятий. Состояние производства гренов тутового шелк</w:t>
      </w:r>
      <w:r>
        <w:t>опряда в республике за 2009 - 2011 годы из расчёта тысяча коробок таково:</w:t>
      </w:r>
    </w:p>
    <w:p w:rsidR="00000000" w:rsidRDefault="004F505B">
      <w:pPr>
        <w:pStyle w:val="a3"/>
      </w:pPr>
      <w:r>
        <w:t>Как свидетельствуют данные предыдущих лет, в республике производство коконов тутового шелкопряда составляло до 3500 тонн. К сожалению, в последние годы производство коконов из года в</w:t>
      </w:r>
      <w:r>
        <w:t xml:space="preserve"> год уменьшается. Основной причиной является несоответствие нынешнему состоянию племеноводства, отсутствие современных технологий по производству грены и замене первичной кладки на племенном предприятии города Вахдат. Одной из проблем предприятия является </w:t>
      </w:r>
      <w:r>
        <w:t>выплата налогов на добавленную стоимость при продаже коконов. В настоящее время многие дехканские хозяйства перешли на единое налогооблажение и освобождены от уплаты НДС. Поэтому Правительству Республики Таджикистан и другим соответствующим министерствам и</w:t>
      </w:r>
      <w:r>
        <w:t xml:space="preserve"> ведомствам необходимо пересмотреть вопрос налогооблажения коконов тутового шелкопряда.</w:t>
      </w:r>
    </w:p>
    <w:p w:rsidR="00000000" w:rsidRDefault="004F505B">
      <w:pPr>
        <w:pStyle w:val="a3"/>
      </w:pPr>
      <w:r>
        <w:t>Данные последних лет свидетельствуют о том, что в республике в 2010 году вместо запланированных 2495 тонн, всего произведено 1077,9 тонн коконов тутового шелкопряда или</w:t>
      </w:r>
      <w:r>
        <w:t xml:space="preserve"> 43,4% от плана, а в 2011 вместо 1860 тонн всего 1261,3 тонн или 67,8% от плана.</w:t>
      </w:r>
    </w:p>
    <w:p w:rsidR="00000000" w:rsidRDefault="004F505B">
      <w:pPr>
        <w:pStyle w:val="a3"/>
      </w:pPr>
      <w:r>
        <w:t>Данные по производству коконов тутового шелкопряда в республике за 2009-2011 годы в тоннах:</w:t>
      </w:r>
    </w:p>
    <w:p w:rsidR="00000000" w:rsidRDefault="004F505B">
      <w:pPr>
        <w:pStyle w:val="a3"/>
      </w:pPr>
      <w:r>
        <w:t>На основании заключения специалистов шелководческой отрасли причиной уменьшения производства коконов тутового шелкопряда является ухудшение кормовой базы, несвоевременная раздача гусениц, реформирование больших хозяйств в мелкие дехканские фермерские хозяй</w:t>
      </w:r>
      <w:r>
        <w:t>ства, отсутствие специализированных помещений и неоклиматизирование гренов, ввозимых из-за границы.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3. Укрепление кормовой базы тутового шелкопряда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Дальнейшее развитие шелководства зависит от укрепления кормовой базы тутового шелкопряда. По имеющимся да</w:t>
      </w:r>
      <w:r>
        <w:t>нным по состоянию на 1 января 2011 года в республике имеются высокорослые тутовые деревья в количестве 25,1 млн. саженцев и 2946 гектаров тутовых плантаций, из которых 1 млн. 552 тыс. деревьев в возрасте от 1 до 6 лет.</w:t>
      </w:r>
    </w:p>
    <w:p w:rsidR="00000000" w:rsidRDefault="004F505B">
      <w:pPr>
        <w:pStyle w:val="a3"/>
      </w:pPr>
      <w:r>
        <w:t>К сожалению, в последние годы во мног</w:t>
      </w:r>
      <w:r>
        <w:t>их шелководческих хозяйствах республики распространились насекомые - вредители тутовых деревьев "Огнёвка", которые нанесли урон 30% тутовым плантациям республики. Увеличение и интенсивное распространение насекомых свидетельствует о том, что в ближайшее вре</w:t>
      </w:r>
      <w:r>
        <w:t>мя они могут охватить все плантации республики. Учитывая создавшееся положение, по поручению Правительства Республики Таджикистан от 30 сентября 2004 года, № 14-1 для изучения и подготовки рекомендаций, была создана специальная комиссия, которая всесторонн</w:t>
      </w:r>
      <w:r>
        <w:t>е изучив состояние кормовой базы тутового шелкопряда в республике по результатам, представила подробную информацию в Правительство Республики Таджикистан.</w:t>
      </w:r>
    </w:p>
    <w:p w:rsidR="00000000" w:rsidRDefault="004F505B">
      <w:pPr>
        <w:pStyle w:val="a3"/>
      </w:pPr>
      <w:r>
        <w:t>Согласно рекомендации специалистов отрасли с 1 июня по 15 сентября необходимо организовать не менее 3</w:t>
      </w:r>
      <w:r>
        <w:t xml:space="preserve"> раз профилактические мероприятия по борьбе с вредителями "Огнёвка", обеспечив эффективное использование выделенных денежных средств Правительством Республики Таджикистан (Приложение 7).</w:t>
      </w:r>
    </w:p>
    <w:p w:rsidR="00000000" w:rsidRDefault="004F505B">
      <w:pPr>
        <w:pStyle w:val="a3"/>
      </w:pPr>
      <w:r>
        <w:t>В связи с этим, просить Правительство Республики Таджикистан рассмотр</w:t>
      </w:r>
      <w:r>
        <w:t>еть данный вопрос и для решения его оказать практическую помощь.</w:t>
      </w:r>
    </w:p>
    <w:p w:rsidR="00000000" w:rsidRDefault="004F505B">
      <w:pPr>
        <w:pStyle w:val="a3"/>
      </w:pPr>
      <w:r>
        <w:t>Для сохранения и укрепления кормовой базы отрасли предусмотреть меры заинтересованности для предприятий сельского хозяйства, дехканских и других хозяйств, которые имеют в своих владениях туто</w:t>
      </w:r>
      <w:r>
        <w:t>вые деревья и плантации. Для защиты кормовой базы соответствующие организации и учреждения обязаны, на основании существующих правовых норм республики, своевременно привлекать к ответственности физические и юридические лица. Лиц, нарушивших данное требован</w:t>
      </w:r>
      <w:r>
        <w:t>ие, привлекать к ответственности на основании Закона Республики Таджикистан от 24 июня 1993 года, №768 "Об усилении ответственности за порчу насаждений и зерновых культур, тутовников и кустарников".</w:t>
      </w:r>
    </w:p>
    <w:p w:rsidR="00000000" w:rsidRDefault="004F505B">
      <w:pPr>
        <w:pStyle w:val="a3"/>
      </w:pPr>
      <w:r>
        <w:t>Местным исполнительным органам государственной власти Хат</w:t>
      </w:r>
      <w:r>
        <w:t xml:space="preserve">лонской и Согдийской областей, городов и районов республиканского подчинения, Министерству энергетики и промышленности Республики Таджикистан, Министерству сельского хозяйства Республики Таджикистан, Государственному комитету по землеустройству и геодезии </w:t>
      </w:r>
      <w:r>
        <w:t>и другим соответствующим министерствам и ведомствам принять необходимые меры по усилению контроля за ходом исполнения законов и постановлений Правительства Республики Таджикистан, касающихся данной отрасли.</w:t>
      </w:r>
    </w:p>
    <w:p w:rsidR="00000000" w:rsidRDefault="004F505B">
      <w:pPr>
        <w:pStyle w:val="a3"/>
      </w:pPr>
      <w:r>
        <w:t>Восстановление тутовых плантаций, уход, увеличени</w:t>
      </w:r>
      <w:r>
        <w:t>е продуктивности тутовых деревьев и создание новых плантаций провести согласно правилам агротехники. Контроль над выполнением этих мероприятий возложить на исполнительные органы государственной власти областей, городов и районов, учреждения сельского хозяй</w:t>
      </w:r>
      <w:r>
        <w:t>ства областей и районов и на Государственное унитарное предприятие "Пилла".</w:t>
      </w:r>
    </w:p>
    <w:p w:rsidR="00000000" w:rsidRDefault="004F505B">
      <w:pPr>
        <w:pStyle w:val="a3"/>
      </w:pPr>
      <w:r>
        <w:t>В целях укрепления кормовой базы тутового шелкопряда, в хозяйствах республики до 2020 года намечена посадка саженцев тутовых деревьев в количестве 1352 тыс. штук и создание 2812 ге</w:t>
      </w:r>
      <w:r>
        <w:t>ктаров новых плантаций (приложения №1 и №2)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4. Развитие производства грены тутового шелкопряда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Высококачественные грены являются основой развития шелководства. Производство высококачественной грены тутового шелкопряда является составной частью шелковод</w:t>
      </w:r>
      <w:r>
        <w:t>ства. В связи с этим, в целях улучшения племеноводства, в племеноводческих хозяйствах планировать проведение работ по выращиванию новых пород грены, выведению высокоурожайных тутовых деревьев и более полному обеспечению шелководческих хозяйств местными пор</w:t>
      </w:r>
      <w:r>
        <w:t>одами грены улучшенного качества в объёме до 60,0 тыс. коробок за счёт денежных средств ГУП "Пилла" и бюджетных ассигнований на племенной станции города Вахдат и на республиканской научнопроизводственной испытательной станции по шелководству Академии сельс</w:t>
      </w:r>
      <w:r>
        <w:t>кохозяйственных наук (приложение № 5). Для обеспечения хозяйств высокоурожайными породами грены необходимо оснащать племзаводы республики современным оборудованием и технологиями.</w:t>
      </w:r>
    </w:p>
    <w:p w:rsidR="00000000" w:rsidRDefault="004F505B">
      <w:pPr>
        <w:pStyle w:val="a3"/>
      </w:pPr>
      <w:r>
        <w:t>Для предотвращения распространения инфекции "Пебрина" и прочих заболеваний г</w:t>
      </w:r>
      <w:r>
        <w:t>рены в хозяйствах, заводах и на племенной станции города Вахдат разработать необходимые мероприятия. Для ввода в эксплуатацию в полном объёме племзавода города Худжанд и племзавода город Вахдат необходимо провести капитальный ремонт цехов и оснастить их но</w:t>
      </w:r>
      <w:r>
        <w:t>вым оборудованием. В целях улучшения работы по разведению гренов и обеспечения производства качественных пород, так же необходимо рассмотреть вопрос и представить соответствующим организациям предложение об освобождении от налога на добавленную стоимость п</w:t>
      </w:r>
      <w:r>
        <w:t>леменных хозяйств и грензавода города Вахдат.</w:t>
      </w:r>
    </w:p>
    <w:p w:rsidR="00000000" w:rsidRDefault="004F505B">
      <w:pPr>
        <w:pStyle w:val="a3"/>
      </w:pPr>
      <w:r>
        <w:t>Для полного ввода в эксплуатацию хозяйственных зон племзаводов и предприятия по выращиванию породистой грены города Вахдат, согласно постановлению Правительства Республики Таджикистан от 7 апреля 1999 года, № 1</w:t>
      </w:r>
      <w:r>
        <w:t>32 "О некоторых мерах по улучшению племенного дела в производстве породных грен тутового шелкопряда" выращивание племенных пород гренов проводить только в племенных хозяйствах.</w:t>
      </w:r>
    </w:p>
    <w:p w:rsidR="00000000" w:rsidRDefault="004F505B">
      <w:pPr>
        <w:pStyle w:val="a3"/>
      </w:pPr>
      <w:r>
        <w:t>Для выполнения вышеперечисленных предложений заводы и предприятия по выращивани</w:t>
      </w:r>
      <w:r>
        <w:t>ю грены оснастить новым технологическим оборудованием (приложение №6) и разработать меры по предотвращению заражения грены от "Пебрина" и других заболеваний.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5. Увеличение объёма производства коконов тутового шелкопряда и внедрение новой технологии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В ц</w:t>
      </w:r>
      <w:r>
        <w:t>елях удовлетворения потребностей промышленности в сырь и увеличения экспортного потенциала республики, необходимо устранить кризисное состояние шелководческой отрасли.</w:t>
      </w:r>
    </w:p>
    <w:p w:rsidR="00000000" w:rsidRDefault="004F505B">
      <w:pPr>
        <w:pStyle w:val="a3"/>
      </w:pPr>
      <w:r>
        <w:t>Систематически наращивать производство коконов тутового шелкопряда в соответствии с суще</w:t>
      </w:r>
      <w:r>
        <w:t>ствующей кормовой базой и довести объём производства коконов к 2020 году до 3000 тонн (приложение №3). В шелководческих хозяйствах предусмотреть строительство инкубаторов по оживлению грен и тутового шелкопряда. Принимая во внимание, что из года в год повы</w:t>
      </w:r>
      <w:r>
        <w:t>шается жизненный уровень населения и шелководы не имеют возможности выращивать коконы в собственных домах, местным исполнительным органам государственным власти Хатлонской, Согдийской областей, городов и районов республиканского подчинения необходимо преду</w:t>
      </w:r>
      <w:r>
        <w:t>смотреть в будущем выращивание качественных коконов в дехканских хозяйствах, производственных кооперативах, хозяйственных субъектах на промышленной основе и строительство помещений вместимостью от 3 до 5 коробок гусениц шелкопряда.</w:t>
      </w:r>
    </w:p>
    <w:p w:rsidR="00000000" w:rsidRDefault="004F505B">
      <w:pPr>
        <w:pStyle w:val="a3"/>
      </w:pPr>
      <w:r>
        <w:t>Просить зарубежных инвес</w:t>
      </w:r>
      <w:r>
        <w:t>торов и Национальный банк Таджикистана выделять долгосрочные льготные кредиты на строительство помещений для выращивания коконов тутового шелкопряда. Для проведения капитального ремонта сооружений и оборудования 2-3-х коконоперерабатывающих предприятий и к</w:t>
      </w:r>
      <w:r>
        <w:t>оконосушилок, совместным предприятиям "ВТ-Силк" и "ВТ Рохи Абрешим" необходимо ежегодно предусматривать финансирование на эти цели в размере 10% чистой прибыли, получаемой от переработки коконов.</w:t>
      </w:r>
    </w:p>
    <w:p w:rsidR="00000000" w:rsidRDefault="004F505B">
      <w:pPr>
        <w:pStyle w:val="a3"/>
      </w:pPr>
      <w:r>
        <w:t>ГУП "Пилла" в целях наращивания производства и повышения кач</w:t>
      </w:r>
      <w:r>
        <w:t>ества коконов, отвечающих мировым рыночным требованиям, необходимо внедрять на предприятиях отрасли новые технологии соответствующие мировым стандартам. Исходя из этого, принять за основу изучение технологии развитых стран, таких как Япония, Китай и Корея.</w:t>
      </w:r>
    </w:p>
    <w:p w:rsidR="00000000" w:rsidRDefault="004F505B">
      <w:pPr>
        <w:pStyle w:val="a3"/>
      </w:pPr>
      <w:r>
        <w:t>Для внедрения передовой технологии и создания комплексов по выращиванию грены, ГУП "Пилла" необходимо использовать банковские кредиты, гранты, иностранные инвестиции и бюджетные средства (приложение №8).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6. Научное обеспечение и подготовка кадров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Приоритетными направлениями научного обеспечения шелководческой отрасли являются выведение и внедрение в производство новых продуктивных и выносливых к болезням видов тутовых деревьев и пород грены, дающих высококачественную шёлковую нить.</w:t>
      </w:r>
    </w:p>
    <w:p w:rsidR="00000000" w:rsidRDefault="004F505B">
      <w:pPr>
        <w:pStyle w:val="a3"/>
      </w:pPr>
      <w:r>
        <w:t>Учёные республик</w:t>
      </w:r>
      <w:r>
        <w:t>анской испытательной станции шелководства Академии сельскохозяйственных наук Республики Таджикистан поставили перед собой задачу по внедрению в производство новых пород грены Таджикистан-1, Таджикистан-2, Худжанд-1, Худжанд-2 на период 2012-2020 годы. В це</w:t>
      </w:r>
      <w:r>
        <w:t>лях увеличения производства семян тутовника, необходимо расширить посадку высокоурожайных видов тутовых деревьев, как "Сурхтут", "Илгор", "Топкросс-2" и "Топкросс-3", позволяющих довести урожайность от 35 до 75 кг с каждого дерева. Для выполнения поставлен</w:t>
      </w:r>
      <w:r>
        <w:t>ных задач республиканской опытной станции шелководства Б.Гафуровского района выделить 10 гектаров орошаемых земель для организации маточных посадок высокоурожайных видов тутовых деревьев для обеспечения шелководческих хозяйств саженцами (приложение №8).</w:t>
      </w:r>
    </w:p>
    <w:p w:rsidR="00000000" w:rsidRDefault="004F505B">
      <w:pPr>
        <w:pStyle w:val="a3"/>
      </w:pPr>
      <w:r>
        <w:t>Дл</w:t>
      </w:r>
      <w:r>
        <w:t xml:space="preserve">я выращивания перспективной высококачественной грены на базе племенного предприятия Б.Гафуровского района организовать Республиканскую станцию шелководства Академии сельскохозяйственных наук Республики Таджикистан, а так же создать филиалы Республиканской </w:t>
      </w:r>
      <w:r>
        <w:t>станции шелководства в городе Вахдат и в Хатлонской области.</w:t>
      </w:r>
    </w:p>
    <w:p w:rsidR="00000000" w:rsidRDefault="004F505B">
      <w:pPr>
        <w:pStyle w:val="a3"/>
      </w:pPr>
      <w:r>
        <w:t>Выбор и расстановка кадров при нынешней ситуации развития общества, с учетом требований рыночной экономики, играют определяющую роль в развитии шелководческой отрасли. Для подготовки специалистов</w:t>
      </w:r>
      <w:r>
        <w:t xml:space="preserve"> с высшим образованием в отрасли шелководства обязать руководителей районов, руководителей сельскохозяйственных учреждений, предприятий по выработке коконов и коконосушилок направлять одарённую молодёжь на учёбу в Аграрный университет Таджикистана. В насто</w:t>
      </w:r>
      <w:r>
        <w:t>ящее время в этом университете функционирует факультет по подготовке кадров для отрасли шелководства. Кроме того, запланировать направление специалистов шелководства в высокоразвитые страны для изучения их передового опыта.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7. Первичная обработка коконов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Необходимо провести капитальный ремонт основных средств пунктов приёма коконов, коконосушилок и коконозапарочного оборудования.</w:t>
      </w:r>
    </w:p>
    <w:p w:rsidR="00000000" w:rsidRDefault="004F505B">
      <w:pPr>
        <w:pStyle w:val="a3"/>
      </w:pPr>
      <w:r>
        <w:t>План проведения капитального ремонта оборудования коконосушилок предусмотрен в приложении № 6.</w:t>
      </w:r>
    </w:p>
    <w:p w:rsidR="00000000" w:rsidRDefault="004F505B">
      <w:pPr>
        <w:pStyle w:val="a3"/>
      </w:pPr>
      <w:r>
        <w:t>Просить Национальный банк Тадж</w:t>
      </w:r>
      <w:r>
        <w:t>икистана и АООТ "Агроинвестбонк" о выделении долгосрочного льготного кредита для ремонта основных средств пунктов приёма коконов и коконосушилок.</w:t>
      </w:r>
    </w:p>
    <w:p w:rsidR="00000000" w:rsidRDefault="004F505B">
      <w:pPr>
        <w:pStyle w:val="a3"/>
      </w:pPr>
      <w:r>
        <w:t xml:space="preserve">Обязать Министерство энергетики и промышленности Республики Таджикистан, Министерство экономического развития </w:t>
      </w:r>
      <w:r>
        <w:t>и торговли Республики Таджикистан, Агентство "Таджикстандарт" разработать и представить для утверждения в Правительство Республики Таджикистан ГОСТ для сырых и сухих коконов, коэффициент выхода сухих коконов из сырых и установить норму влажности кокона для</w:t>
      </w:r>
      <w:r>
        <w:t xml:space="preserve"> приёма кокона.</w:t>
      </w:r>
    </w:p>
    <w:p w:rsidR="00000000" w:rsidRDefault="004F505B">
      <w:pPr>
        <w:pStyle w:val="a3"/>
      </w:pPr>
      <w:r>
        <w:t>В целях проведения диагностирования и установления биологических и технологических показателей выращивания грены, определение качества грены коконов и шёлковой нити, определения качества семян и тутовых деревьев, болезней грены и тутовых де</w:t>
      </w:r>
      <w:r>
        <w:t>ревьев за счёт средств инвесторов и грантов оснастить специальную лабораторию Республиканской опытной научно-производственной станции шелководства современным оборудованием.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4"/>
        <w:rPr>
          <w:rFonts w:eastAsia="Times New Roman"/>
        </w:rPr>
      </w:pPr>
      <w:r>
        <w:rPr>
          <w:rFonts w:eastAsia="Times New Roman"/>
        </w:rPr>
        <w:t>8. Переработка коконов тутового шелкопряда, производство шелковой нити и атласно</w:t>
      </w:r>
      <w:r>
        <w:rPr>
          <w:rFonts w:eastAsia="Times New Roman"/>
        </w:rPr>
        <w:t>й ткани</w:t>
      </w:r>
    </w:p>
    <w:p w:rsidR="00000000" w:rsidRDefault="004F505B">
      <w:pPr>
        <w:pStyle w:val="a3"/>
      </w:pPr>
      <w:r>
        <w:t> </w:t>
      </w:r>
    </w:p>
    <w:p w:rsidR="00000000" w:rsidRDefault="004F505B">
      <w:pPr>
        <w:pStyle w:val="a3"/>
      </w:pPr>
      <w:r>
        <w:t>В советский период в Таджикистане функционировало 6 предприятий по переработке коконов тутового шелкопряда и 2 предприятия по производству атласной ткани. После распада Советского Союза в связи с проблемами, связанными с адаптацией к рыночным отн</w:t>
      </w:r>
      <w:r>
        <w:t>ошениям, отсутствия финансовой поддержки со стороны государства и неспособности владельцев управлять производством, 2 предприятия по производству коконов и ОАО "Таджикатлас" полностью прекратили свою деятельность. В республике остались 4 предприятия по пер</w:t>
      </w:r>
      <w:r>
        <w:t>еработке коконов и одно предприятие по производству атласной ткани ООО "Атласи Худжанд". Последним налажена работа по переработке сырья заказчика и использует лишь 55% своих производственных мощностей. Вырученные деньги направляются на выплату налогов в бю</w:t>
      </w:r>
      <w:r>
        <w:t>джет, заработной платы рабочим и служащим и на другие производственные издержки, а реконструкция производства, покупка техники и современного оборудования стали невозможными. На данном предприятии годовая потребность в шелковой нити составляет 9,6 тонн с м</w:t>
      </w:r>
      <w:r>
        <w:t>ощностью производства 186 тыс. м2 атласной ткани. Число работающих составляет 16 человек.</w:t>
      </w:r>
    </w:p>
    <w:p w:rsidR="00000000" w:rsidRDefault="004F505B">
      <w:pPr>
        <w:pStyle w:val="a3"/>
      </w:pPr>
      <w:r>
        <w:t>Одним из основных вопросов, требующих своего решения в области производства атласной ткани, является высокая цена на шелковую нить, что отрицательно влияет на себесто</w:t>
      </w:r>
      <w:r>
        <w:t>имость готовой продукции. Согласно представленному прейскуранту ООО "Атласи Худжанд"', в настоящее время цена 1 погонного метра произведенной атласной ткани, с учетом НДС, составляет 24,5 сомони.</w:t>
      </w:r>
    </w:p>
    <w:p w:rsidR="00000000" w:rsidRDefault="004F505B">
      <w:pPr>
        <w:pStyle w:val="a3"/>
      </w:pPr>
      <w:r>
        <w:t>Нужно подчеркнуть, что шелкоткацкая отрасль в республике явл</w:t>
      </w:r>
      <w:r>
        <w:t>яется традиционно-национальной, имеющей хорошую сырьевую базу. Из-за нехватки оборотных средств для приобретения шелковой нити и ценовой неконкурентоспособности произведённого атласа с аналогичным ввозимым, в том числе контрабандным путем товаром, внутренн</w:t>
      </w:r>
      <w:r>
        <w:t>ие предприятия останавливают свое производство.</w:t>
      </w:r>
    </w:p>
    <w:p w:rsidR="00000000" w:rsidRDefault="004F505B">
      <w:pPr>
        <w:pStyle w:val="a3"/>
      </w:pPr>
      <w:r>
        <w:t xml:space="preserve">В целях восстановления существующих мощностей шелкоткачества, Министерство энергетики и промышленности озадачило учредителя ООО СП "ВТ Рохи Абрешим" города Душанбе - Компанию "Asia Silk Corporation" наладить </w:t>
      </w:r>
      <w:r>
        <w:t xml:space="preserve">производство шелковых и атласных тканей. В настоящее время данное предприятие при сотрудничестве со специалистами Министерства завезло и установило 5 ручных аппаратов по производству продукции народно-художественных ремесел (шарфы, платки и т.п.) и атласа </w:t>
      </w:r>
      <w:r>
        <w:t>с использованием шелковой нити. Надо отметить, что в ООО СП "ВТ Рохи Абрешим" имеется кокономотальное оборудование японского производства мощностью переработки 350-400 тонн сухих коконов в год с производством 70 тонн шелковой нити, с возможностью восстанов</w:t>
      </w:r>
      <w:r>
        <w:t>ления 360 рабочих мест. Указанное оборудование готово к работе. К сожалению, начиная с 2006 года, из-за нехватки сырья предприятие не работает.</w:t>
      </w:r>
    </w:p>
    <w:p w:rsidR="00000000" w:rsidRDefault="004F505B">
      <w:pPr>
        <w:pStyle w:val="a3"/>
      </w:pPr>
      <w:r>
        <w:t>Уместно подчеркнуть, что производство атласа нуждается в государственной поддержке. Поэтому, с учётом культурной</w:t>
      </w:r>
      <w:r>
        <w:t xml:space="preserve"> значимости и национальных традиций таджиков, которым принадлежит атлас, государственная поддержка отрасли считается целесообразной.</w:t>
      </w:r>
    </w:p>
    <w:p w:rsidR="00000000" w:rsidRDefault="004F505B">
      <w:pPr>
        <w:pStyle w:val="a3"/>
      </w:pPr>
      <w:r>
        <w:t>В республике имеется 4 предприятия по переработке коконов годовой мощностью переработки 1391 тонны сухих коконов и 347,9 то</w:t>
      </w:r>
      <w:r>
        <w:t>нн шелковой нити. Это ООО СП "ВТ-Силк" города Худжанд, ООО СП "Рохи Абрешим" города Душанбе, ДП "Сарбанд-Силк" города Сарбанд и ДП "Куляб-Силк" города Куляб. Первоочередное обеспечение предприятий сырьём - это проблема требующая решения.</w:t>
      </w:r>
    </w:p>
    <w:p w:rsidR="00000000" w:rsidRDefault="004F505B">
      <w:pPr>
        <w:pStyle w:val="a3"/>
      </w:pPr>
      <w:r>
        <w:t>Развитие перерабат</w:t>
      </w:r>
      <w:r>
        <w:t>ывающей отрасли кокона-сырья обеспечивается с учетом использования существующих больших запасов местного сырья, а это важное условие пополнения госбюджета, обеспечения внутреннего рынка и повышения экспортного потенциала республики, организации новых рабоч</w:t>
      </w:r>
      <w:r>
        <w:t>их мест, что способствует снижению уровня бедности.</w:t>
      </w:r>
    </w:p>
    <w:p w:rsidR="00000000" w:rsidRDefault="004F505B">
      <w:pPr>
        <w:pStyle w:val="a3"/>
      </w:pPr>
      <w:r>
        <w:t>Чтобы достичь хороших успехов в переработке коконов тутового шелкопряда и производства атласной ткани внутри республики, необходимо осуществить ряд мероприятий;</w:t>
      </w:r>
    </w:p>
    <w:p w:rsidR="00000000" w:rsidRDefault="004F505B">
      <w:pPr>
        <w:pStyle w:val="a3"/>
      </w:pPr>
      <w:r>
        <w:t>-переоборудовать существующие производствен</w:t>
      </w:r>
      <w:r>
        <w:t>ные мощности промышленных предприятий республики;</w:t>
      </w:r>
    </w:p>
    <w:p w:rsidR="00000000" w:rsidRDefault="004F505B">
      <w:pPr>
        <w:pStyle w:val="a3"/>
      </w:pPr>
      <w:r>
        <w:t>-построить и сдать в эксплуатацию новые предприятия для переработки коконного сырья в зонах выращивания коконов в республике;</w:t>
      </w:r>
    </w:p>
    <w:p w:rsidR="00000000" w:rsidRDefault="004F505B">
      <w:pPr>
        <w:pStyle w:val="a3"/>
      </w:pPr>
      <w:r>
        <w:t>-в первую очередь, обеспечить отечественные предприятия сырьём;</w:t>
      </w:r>
    </w:p>
    <w:p w:rsidR="004F505B" w:rsidRDefault="004F505B">
      <w:pPr>
        <w:pStyle w:val="a3"/>
      </w:pPr>
      <w:r>
        <w:t>-упорядочить экс</w:t>
      </w:r>
      <w:r>
        <w:t>портную и импортную таможенную политику в республике.</w:t>
      </w:r>
    </w:p>
    <w:sectPr w:rsidR="004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E5CEF"/>
    <w:rsid w:val="004F505B"/>
    <w:rsid w:val="00A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2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rgn=9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4640" TargetMode="External"/><Relationship Id="rId5" Type="http://schemas.openxmlformats.org/officeDocument/2006/relationships/hyperlink" Target="vfp://rgn=16550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cuments\view_sanadhoview.php%3fshowdetail=&amp;sanadID=436&amp;language=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3386</Words>
  <Characters>19304</Characters>
  <Application>Microsoft Office Word</Application>
  <DocSecurity>0</DocSecurity>
  <Lines>160</Lines>
  <Paragraphs>45</Paragraphs>
  <ScaleCrop>false</ScaleCrop>
  <Company/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2018-10-30T04:16:00Z</dcterms:created>
  <dcterms:modified xsi:type="dcterms:W3CDTF">2018-10-30T04:16:00Z</dcterms:modified>
</cp:coreProperties>
</file>