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3B23">
      <w:pPr>
        <w:pStyle w:val="a3"/>
      </w:pPr>
      <w:r>
        <w:t> </w:t>
      </w:r>
    </w:p>
    <w:p w:rsidR="00000000" w:rsidRDefault="00FE3B23">
      <w:pPr>
        <w:pStyle w:val="a3"/>
        <w:jc w:val="right"/>
      </w:pPr>
      <w:r>
        <w:t>Приложение 1 к</w:t>
      </w:r>
    </w:p>
    <w:p w:rsidR="00000000" w:rsidRDefault="00FE3B23">
      <w:pPr>
        <w:pStyle w:val="a3"/>
        <w:jc w:val="right"/>
      </w:pPr>
      <w:r>
        <w:t>постановлением Правительства</w:t>
      </w:r>
    </w:p>
    <w:p w:rsidR="00000000" w:rsidRDefault="00FE3B23">
      <w:pPr>
        <w:pStyle w:val="a3"/>
        <w:jc w:val="right"/>
      </w:pPr>
      <w:r>
        <w:t>Республики Таджикистан</w:t>
      </w:r>
    </w:p>
    <w:p w:rsidR="00000000" w:rsidRDefault="00FE3B23">
      <w:pPr>
        <w:pStyle w:val="a3"/>
        <w:jc w:val="right"/>
      </w:pPr>
      <w:hyperlink r:id="rId5" w:tgtFrame="_blank" w:history="1">
        <w:r>
          <w:rPr>
            <w:rStyle w:val="a4"/>
          </w:rPr>
          <w:t>от 27 мая 2017 года, № 259</w:t>
        </w:r>
      </w:hyperlink>
    </w:p>
    <w:p w:rsidR="00000000" w:rsidRDefault="00FE3B23">
      <w:pPr>
        <w:pStyle w:val="a3"/>
      </w:pPr>
      <w:r>
        <w:t> </w:t>
      </w:r>
    </w:p>
    <w:p w:rsidR="00000000" w:rsidRDefault="00FE3B23">
      <w:pPr>
        <w:pStyle w:val="a3"/>
        <w:jc w:val="center"/>
      </w:pPr>
      <w:r>
        <w:rPr>
          <w:rStyle w:val="a6"/>
        </w:rPr>
        <w:t>КОНЦЕПЦИЯ ТАРИФНОГО РЕГУЛИРОВАНИЯ В ЭЛЕКТРОЭНЕРГЕТИЧЕСКОЙ ОТРАСЛИ</w:t>
      </w:r>
    </w:p>
    <w:p w:rsidR="00000000" w:rsidRDefault="00FE3B23">
      <w:pPr>
        <w:pStyle w:val="a3"/>
        <w:jc w:val="center"/>
      </w:pPr>
      <w:r>
        <w:rPr>
          <w:rStyle w:val="a6"/>
        </w:rPr>
        <w:t>РЕСПУБЛИКИ ТАДЖИКИСТАН</w:t>
      </w:r>
    </w:p>
    <w:p w:rsidR="00000000" w:rsidRDefault="00FE3B23">
      <w:pPr>
        <w:pStyle w:val="2"/>
        <w:rPr>
          <w:rFonts w:eastAsia="Times New Roman"/>
        </w:rPr>
      </w:pPr>
      <w:r>
        <w:rPr>
          <w:rFonts w:eastAsia="Times New Roman"/>
        </w:rPr>
        <w:t> </w:t>
      </w:r>
    </w:p>
    <w:p w:rsidR="00000000" w:rsidRDefault="00FE3B23">
      <w:pPr>
        <w:pStyle w:val="4"/>
        <w:rPr>
          <w:rFonts w:eastAsia="Times New Roman"/>
        </w:rPr>
      </w:pPr>
      <w:r>
        <w:rPr>
          <w:rFonts w:eastAsia="Times New Roman"/>
        </w:rPr>
        <w:t>1. Введение</w:t>
      </w:r>
    </w:p>
    <w:p w:rsidR="00000000" w:rsidRDefault="00FE3B23">
      <w:pPr>
        <w:numPr>
          <w:ilvl w:val="0"/>
          <w:numId w:val="1"/>
        </w:numPr>
        <w:spacing w:before="100" w:beforeAutospacing="1" w:after="100" w:afterAutospacing="1"/>
        <w:rPr>
          <w:rFonts w:eastAsia="Times New Roman"/>
        </w:rPr>
      </w:pPr>
      <w:r>
        <w:rPr>
          <w:rFonts w:eastAsia="Times New Roman"/>
        </w:rPr>
        <w:t>Концепция тарифного регулирования в электроэнергетической отрасли Республики Таджикистан (далее - Концепция) определяет стратегические цели и приоритеты тарифного регулирования в электроэнергетической отрасли, методы, п</w:t>
      </w:r>
      <w:r>
        <w:rPr>
          <w:rFonts w:eastAsia="Times New Roman"/>
        </w:rPr>
        <w:t>ути достижения этих целей и основные направления преобразования тарифов электроэнергии в Республике Таджикистан.</w:t>
      </w:r>
    </w:p>
    <w:p w:rsidR="00000000" w:rsidRDefault="00FE3B23">
      <w:pPr>
        <w:numPr>
          <w:ilvl w:val="0"/>
          <w:numId w:val="1"/>
        </w:numPr>
        <w:spacing w:before="100" w:beforeAutospacing="1" w:after="100" w:afterAutospacing="1"/>
        <w:rPr>
          <w:rFonts w:eastAsia="Times New Roman"/>
        </w:rPr>
      </w:pPr>
      <w:r>
        <w:rPr>
          <w:rFonts w:eastAsia="Times New Roman"/>
        </w:rPr>
        <w:t>Настоящая Концепция разработана в соответствии с распоряжением Президента Республики Таджикистан от 6 октября 2015 года, №РП-594 в рамках Индив</w:t>
      </w:r>
      <w:r>
        <w:rPr>
          <w:rFonts w:eastAsia="Times New Roman"/>
        </w:rPr>
        <w:t>идуального плана реструктуризации Открытой акционерной холдинговой компании "Барки Точик", утвержденного постановлением Правительства Республики Таджикистан от 30 августа 2011 года, №431, с учетом международного опыта.</w:t>
      </w:r>
    </w:p>
    <w:p w:rsidR="00000000" w:rsidRDefault="00FE3B23">
      <w:pPr>
        <w:numPr>
          <w:ilvl w:val="0"/>
          <w:numId w:val="1"/>
        </w:numPr>
        <w:spacing w:before="100" w:beforeAutospacing="1" w:after="100" w:afterAutospacing="1"/>
        <w:rPr>
          <w:rFonts w:eastAsia="Times New Roman"/>
        </w:rPr>
      </w:pPr>
      <w:r>
        <w:rPr>
          <w:rFonts w:eastAsia="Times New Roman"/>
        </w:rPr>
        <w:t>Концепция основана на Стратегии нацио</w:t>
      </w:r>
      <w:r>
        <w:rPr>
          <w:rFonts w:eastAsia="Times New Roman"/>
        </w:rPr>
        <w:t>нального развития Республики Таджикистан на период до 2030 года, Среднесрочной программы развития Республики Таджикистан на 2016-2020 годы, постановлениях Правительства Республики Таджикистан от 30 августа 2011 года, №431 и от 2 июля 2015 года, №427, а так</w:t>
      </w:r>
      <w:r>
        <w:rPr>
          <w:rFonts w:eastAsia="Times New Roman"/>
        </w:rPr>
        <w:t>же кредитных соглашениях Правительства Республики Таджикистан с международными финансовыми структурами и направлена на полное и надежное обеспечение потребителей электроэнергией путем внедрения коммерческих отношений и на этой основе достижения финансового</w:t>
      </w:r>
      <w:r>
        <w:rPr>
          <w:rFonts w:eastAsia="Times New Roman"/>
        </w:rPr>
        <w:t xml:space="preserve"> самообеспечения электроэнергетической отрасли страны и дальнейшего её развития.</w:t>
      </w:r>
    </w:p>
    <w:p w:rsidR="00000000" w:rsidRDefault="00FE3B23">
      <w:pPr>
        <w:numPr>
          <w:ilvl w:val="0"/>
          <w:numId w:val="1"/>
        </w:numPr>
        <w:spacing w:before="100" w:beforeAutospacing="1" w:after="100" w:afterAutospacing="1"/>
        <w:rPr>
          <w:rFonts w:eastAsia="Times New Roman"/>
        </w:rPr>
      </w:pPr>
      <w:r>
        <w:rPr>
          <w:rFonts w:eastAsia="Times New Roman"/>
        </w:rPr>
        <w:t>Концепция основана на показателях прогноза производства и использования электроэнергии в Таджикистане, определяет дальнейшее развития электроэнергетической отрасли и в ней бол</w:t>
      </w:r>
      <w:r>
        <w:rPr>
          <w:rFonts w:eastAsia="Times New Roman"/>
        </w:rPr>
        <w:t>ее полно учтены национальные интересы Таджикистана, личные интересы граждан и интересы общества.</w:t>
      </w:r>
    </w:p>
    <w:p w:rsidR="00000000" w:rsidRDefault="00FE3B23">
      <w:pPr>
        <w:numPr>
          <w:ilvl w:val="0"/>
          <w:numId w:val="1"/>
        </w:numPr>
        <w:spacing w:before="100" w:beforeAutospacing="1" w:after="100" w:afterAutospacing="1"/>
        <w:rPr>
          <w:rFonts w:eastAsia="Times New Roman"/>
        </w:rPr>
      </w:pPr>
      <w:r>
        <w:rPr>
          <w:rFonts w:eastAsia="Times New Roman"/>
        </w:rPr>
        <w:t>Концепция отражает также вопросы защиты интересов населения путем установления отдельным категориям потребителей экономически обоснованных и в то же самое врем</w:t>
      </w:r>
      <w:r>
        <w:rPr>
          <w:rFonts w:eastAsia="Times New Roman"/>
        </w:rPr>
        <w:t>я обеспечивающих защиту предприятий и учреждении электроэнергетической отрасли.</w:t>
      </w:r>
    </w:p>
    <w:p w:rsidR="00000000" w:rsidRDefault="00FE3B23">
      <w:pPr>
        <w:numPr>
          <w:ilvl w:val="0"/>
          <w:numId w:val="1"/>
        </w:numPr>
        <w:spacing w:before="100" w:beforeAutospacing="1" w:after="100" w:afterAutospacing="1"/>
        <w:rPr>
          <w:rFonts w:eastAsia="Times New Roman"/>
        </w:rPr>
      </w:pPr>
      <w:r>
        <w:rPr>
          <w:rFonts w:eastAsia="Times New Roman"/>
        </w:rPr>
        <w:t>Учитывая важную роль электроэнергии в обеспечении благосостояния населения, настоящая Концепция предусматривает вопросы доступа уязвимых групп населения, к электроэнергии их со</w:t>
      </w:r>
      <w:r>
        <w:rPr>
          <w:rFonts w:eastAsia="Times New Roman"/>
        </w:rPr>
        <w:t>циальной защиты путем принятия необходимых финансовых мер, а также установления дифференцированных тарифов.</w:t>
      </w:r>
    </w:p>
    <w:p w:rsidR="00000000" w:rsidRDefault="00FE3B23">
      <w:pPr>
        <w:pStyle w:val="a3"/>
      </w:pPr>
      <w:r>
        <w:t> </w:t>
      </w:r>
    </w:p>
    <w:p w:rsidR="00000000" w:rsidRDefault="00FE3B23">
      <w:pPr>
        <w:pStyle w:val="4"/>
        <w:rPr>
          <w:rFonts w:eastAsia="Times New Roman"/>
        </w:rPr>
      </w:pPr>
      <w:r>
        <w:rPr>
          <w:rFonts w:eastAsia="Times New Roman"/>
        </w:rPr>
        <w:t>2. Текущее состояние тарифного делегирования в электроэнергетической отрасли</w:t>
      </w:r>
    </w:p>
    <w:p w:rsidR="00000000" w:rsidRDefault="00FE3B23">
      <w:pPr>
        <w:pStyle w:val="a3"/>
      </w:pPr>
      <w:r>
        <w:t> </w:t>
      </w:r>
    </w:p>
    <w:p w:rsidR="00000000" w:rsidRDefault="00FE3B23">
      <w:pPr>
        <w:numPr>
          <w:ilvl w:val="0"/>
          <w:numId w:val="2"/>
        </w:numPr>
        <w:spacing w:before="100" w:beforeAutospacing="1" w:after="100" w:afterAutospacing="1"/>
        <w:rPr>
          <w:rFonts w:eastAsia="Times New Roman"/>
        </w:rPr>
      </w:pPr>
      <w:r>
        <w:rPr>
          <w:rFonts w:eastAsia="Times New Roman"/>
        </w:rPr>
        <w:t>Основные принципы тарифного регулирования в электроэнергетической о</w:t>
      </w:r>
      <w:r>
        <w:rPr>
          <w:rFonts w:eastAsia="Times New Roman"/>
        </w:rPr>
        <w:t>трасли состоят из соблюдения баланса интересов, доступности электроэнергии, самостоятельности предприятий отрасли, оказывающих услуги по обеспечению электроэнергией, которые нашли отражение в Законе Республики Таджикистан "О естественных монополиях" и в За</w:t>
      </w:r>
      <w:r>
        <w:rPr>
          <w:rFonts w:eastAsia="Times New Roman"/>
        </w:rPr>
        <w:t>коне Республики Таджикистан "Об энергетике".</w:t>
      </w:r>
    </w:p>
    <w:p w:rsidR="00000000" w:rsidRDefault="00FE3B23">
      <w:pPr>
        <w:numPr>
          <w:ilvl w:val="0"/>
          <w:numId w:val="2"/>
        </w:numPr>
        <w:spacing w:before="100" w:beforeAutospacing="1" w:after="100" w:afterAutospacing="1"/>
        <w:rPr>
          <w:rFonts w:eastAsia="Times New Roman"/>
        </w:rPr>
      </w:pPr>
      <w:r>
        <w:rPr>
          <w:rFonts w:eastAsia="Times New Roman"/>
        </w:rPr>
        <w:t>Тарифы, действующие в электроэнергетической отрасли Республики Таджикистан, не могут способствовать полному обеспечению экономической самостоятельности структур, занятых предоставлением услуг по обеспечению элек</w:t>
      </w:r>
      <w:r>
        <w:rPr>
          <w:rFonts w:eastAsia="Times New Roman"/>
        </w:rPr>
        <w:t>троэнергией и эффективному функционированию системы электроснабжения. Действующие на сегодня тарифы установлены на уровнях, которые не покрывают всех затрат. Кроме того, текущая тарифное регулирование на электрическую энергию характеризуется наличием перек</w:t>
      </w:r>
      <w:r>
        <w:rPr>
          <w:rFonts w:eastAsia="Times New Roman"/>
        </w:rPr>
        <w:t>рестного субсидирования поставок электроэнергии. Действующие тарифы на услуги электроэнергии для каждой отдельной категории потребителей значительно отличаются друг от друга и эти тарифы не отражают в полной мере затраты по поставке электроэнергии для этих</w:t>
      </w:r>
      <w:r>
        <w:rPr>
          <w:rFonts w:eastAsia="Times New Roman"/>
        </w:rPr>
        <w:t xml:space="preserve"> категорий потребителей, что вызывает необходимость принятия настоящей Концепции.</w:t>
      </w:r>
    </w:p>
    <w:p w:rsidR="00000000" w:rsidRDefault="00FE3B23">
      <w:pPr>
        <w:numPr>
          <w:ilvl w:val="0"/>
          <w:numId w:val="2"/>
        </w:numPr>
        <w:spacing w:before="100" w:beforeAutospacing="1" w:after="100" w:afterAutospacing="1"/>
        <w:rPr>
          <w:rFonts w:eastAsia="Times New Roman"/>
        </w:rPr>
      </w:pPr>
      <w:r>
        <w:rPr>
          <w:rFonts w:eastAsia="Times New Roman"/>
        </w:rPr>
        <w:t>Действующие тарифы оказывают существенное негативное влияние на функционирование предприятий электроэнергетической отрасли и на доходную часть государственного бюджета, что м</w:t>
      </w:r>
      <w:r>
        <w:rPr>
          <w:rFonts w:eastAsia="Times New Roman"/>
        </w:rPr>
        <w:t>ожет привести к негативным последствиям в обеспечении растущих потребностей экономики и социальной сферы.</w:t>
      </w:r>
    </w:p>
    <w:p w:rsidR="00000000" w:rsidRDefault="00FE3B23">
      <w:pPr>
        <w:numPr>
          <w:ilvl w:val="0"/>
          <w:numId w:val="2"/>
        </w:numPr>
        <w:spacing w:before="100" w:beforeAutospacing="1" w:after="100" w:afterAutospacing="1"/>
        <w:rPr>
          <w:rFonts w:eastAsia="Times New Roman"/>
        </w:rPr>
      </w:pPr>
      <w:r>
        <w:rPr>
          <w:rFonts w:eastAsia="Times New Roman"/>
        </w:rPr>
        <w:t>Текущая тарифная политика не позволяет устойчиво инвестировать в развитие и модернизацию инфраструктуры электроэнергетики, что в будущем может привест</w:t>
      </w:r>
      <w:r>
        <w:rPr>
          <w:rFonts w:eastAsia="Times New Roman"/>
        </w:rPr>
        <w:t>и к снижению надежности электроснабжения, снижению качества и большим потерям электроэнергии что, и к увеличению неэффективности электроэнергетической отрасли в целом.</w:t>
      </w:r>
    </w:p>
    <w:p w:rsidR="00000000" w:rsidRDefault="00FE3B23">
      <w:pPr>
        <w:numPr>
          <w:ilvl w:val="0"/>
          <w:numId w:val="2"/>
        </w:numPr>
        <w:spacing w:before="100" w:beforeAutospacing="1" w:after="100" w:afterAutospacing="1"/>
        <w:rPr>
          <w:rFonts w:eastAsia="Times New Roman"/>
        </w:rPr>
      </w:pPr>
      <w:r>
        <w:rPr>
          <w:rFonts w:eastAsia="Times New Roman"/>
        </w:rPr>
        <w:t>Для решения существующей проблемы в обеспечении надежного и качественного электроснабжен</w:t>
      </w:r>
      <w:r>
        <w:rPr>
          <w:rFonts w:eastAsia="Times New Roman"/>
        </w:rPr>
        <w:t>ия потребителей, защиты населения и экономики республики от предполагаемых разрушительных экономических изменений возникла необходимость проведения реформы тарифного регулирования предоставления услуг электрической энергии. В связи с этим, принятие настоящ</w:t>
      </w:r>
      <w:r>
        <w:rPr>
          <w:rFonts w:eastAsia="Times New Roman"/>
        </w:rPr>
        <w:t>ей Концепции в контексте реструктуризации управления Открытой акционерной холдинговойкомпании "Барки Точик", предусматривающей разработку новой методологии по регулирования тарифов для предприятий отдельных направлений деятельности (производство, передача,</w:t>
      </w:r>
      <w:r>
        <w:rPr>
          <w:rFonts w:eastAsia="Times New Roman"/>
        </w:rPr>
        <w:t xml:space="preserve"> распределение), считается необходимым и очень важным.</w:t>
      </w:r>
    </w:p>
    <w:p w:rsidR="00000000" w:rsidRDefault="00FE3B23">
      <w:pPr>
        <w:pStyle w:val="a3"/>
      </w:pPr>
      <w:r>
        <w:t> </w:t>
      </w:r>
    </w:p>
    <w:p w:rsidR="00000000" w:rsidRDefault="00FE3B23">
      <w:pPr>
        <w:pStyle w:val="4"/>
        <w:rPr>
          <w:rFonts w:eastAsia="Times New Roman"/>
        </w:rPr>
      </w:pPr>
      <w:r>
        <w:rPr>
          <w:rFonts w:eastAsia="Times New Roman"/>
        </w:rPr>
        <w:t>3. Цели и задачи Концепции</w:t>
      </w:r>
    </w:p>
    <w:p w:rsidR="00000000" w:rsidRDefault="00FE3B23">
      <w:pPr>
        <w:pStyle w:val="a3"/>
      </w:pPr>
      <w:r>
        <w:t> </w:t>
      </w:r>
    </w:p>
    <w:p w:rsidR="00000000" w:rsidRDefault="00FE3B23">
      <w:pPr>
        <w:numPr>
          <w:ilvl w:val="0"/>
          <w:numId w:val="3"/>
        </w:numPr>
        <w:spacing w:before="100" w:beforeAutospacing="1" w:after="100" w:afterAutospacing="1"/>
        <w:rPr>
          <w:rFonts w:eastAsia="Times New Roman"/>
        </w:rPr>
      </w:pPr>
      <w:r>
        <w:rPr>
          <w:rFonts w:eastAsia="Times New Roman"/>
        </w:rPr>
        <w:t>Настоящая Концепция разработана с целью внедрения эффективного тарифного (ценового) регулирования на услуги по электроснабжению и обеспечения энергетической безопасности Республики Таджикистан.</w:t>
      </w:r>
    </w:p>
    <w:p w:rsidR="00000000" w:rsidRDefault="00FE3B23">
      <w:pPr>
        <w:numPr>
          <w:ilvl w:val="0"/>
          <w:numId w:val="3"/>
        </w:numPr>
        <w:spacing w:before="100" w:beforeAutospacing="1" w:after="100" w:afterAutospacing="1"/>
        <w:rPr>
          <w:rFonts w:eastAsia="Times New Roman"/>
        </w:rPr>
      </w:pPr>
      <w:r>
        <w:rPr>
          <w:rFonts w:eastAsia="Times New Roman"/>
        </w:rPr>
        <w:t>Целями и задачами Концепции являются:</w:t>
      </w:r>
    </w:p>
    <w:p w:rsidR="00000000" w:rsidRDefault="00FE3B23">
      <w:pPr>
        <w:pStyle w:val="a3"/>
      </w:pPr>
      <w:r>
        <w:t>- обеспечение баланса ин</w:t>
      </w:r>
      <w:r>
        <w:t>тересов между потребителями и энергоснабжающими предприятиями путем установления тарифов, отражающих действительные затраты предприятий, с учетом вопросов по социальные защиты;</w:t>
      </w:r>
    </w:p>
    <w:p w:rsidR="00000000" w:rsidRDefault="00FE3B23">
      <w:pPr>
        <w:pStyle w:val="a3"/>
      </w:pPr>
      <w:r>
        <w:t>- постепенный уход от существующего перекрестного субсидирования потребителей э</w:t>
      </w:r>
      <w:r>
        <w:t>лектроэнергии;</w:t>
      </w:r>
    </w:p>
    <w:p w:rsidR="00000000" w:rsidRDefault="00FE3B23">
      <w:pPr>
        <w:pStyle w:val="a3"/>
      </w:pPr>
      <w:r>
        <w:t>- обеспечение финансовой устойчивости предприятий электроэнергетической отрасли и привлечение инвестиций;</w:t>
      </w:r>
    </w:p>
    <w:p w:rsidR="00000000" w:rsidRDefault="00FE3B23">
      <w:pPr>
        <w:pStyle w:val="a3"/>
      </w:pPr>
      <w:r>
        <w:t>- содействие в прозрачности, согласованности и предсказуемости тарифного регулирования и минимизации регуляторных рисков;</w:t>
      </w:r>
    </w:p>
    <w:p w:rsidR="00000000" w:rsidRDefault="00FE3B23">
      <w:pPr>
        <w:pStyle w:val="a3"/>
      </w:pPr>
      <w:r>
        <w:t xml:space="preserve">- содействие </w:t>
      </w:r>
      <w:r>
        <w:t>в проведении обсуждений с потребителями и представлению информации о решениях, принятых по тарифам;</w:t>
      </w:r>
    </w:p>
    <w:p w:rsidR="00000000" w:rsidRDefault="00FE3B23">
      <w:pPr>
        <w:pStyle w:val="a3"/>
      </w:pPr>
      <w:r>
        <w:t>- стимулирование конкуренции и эффективности деятельности предприятий отрасли, повышению качества и надежности электроснабжения, тем самым смягчения влияния</w:t>
      </w:r>
      <w:r>
        <w:t>, оказываемого повышением тарифов на потребителей, в частности на уязвимые группы населения.</w:t>
      </w:r>
    </w:p>
    <w:p w:rsidR="00000000" w:rsidRDefault="00FE3B23">
      <w:pPr>
        <w:pStyle w:val="a3"/>
      </w:pPr>
      <w:r>
        <w:t> </w:t>
      </w:r>
    </w:p>
    <w:p w:rsidR="00000000" w:rsidRDefault="00FE3B23">
      <w:pPr>
        <w:pStyle w:val="4"/>
        <w:rPr>
          <w:rFonts w:eastAsia="Times New Roman"/>
        </w:rPr>
      </w:pPr>
      <w:r>
        <w:rPr>
          <w:rFonts w:eastAsia="Times New Roman"/>
        </w:rPr>
        <w:t>4. Принципы, которые регулируют определённость финансовой доходности предприятий электроэнергетической отрасли</w:t>
      </w:r>
    </w:p>
    <w:p w:rsidR="00000000" w:rsidRDefault="00FE3B23">
      <w:pPr>
        <w:pStyle w:val="a3"/>
      </w:pPr>
      <w:r>
        <w:t> </w:t>
      </w:r>
    </w:p>
    <w:p w:rsidR="00000000" w:rsidRDefault="00FE3B23">
      <w:pPr>
        <w:numPr>
          <w:ilvl w:val="0"/>
          <w:numId w:val="4"/>
        </w:numPr>
        <w:spacing w:before="100" w:beforeAutospacing="1" w:after="100" w:afterAutospacing="1"/>
        <w:rPr>
          <w:rFonts w:eastAsia="Times New Roman"/>
        </w:rPr>
      </w:pPr>
      <w:r>
        <w:rPr>
          <w:rFonts w:eastAsia="Times New Roman"/>
        </w:rPr>
        <w:t>Настоящая Концепция предусматривает основные при</w:t>
      </w:r>
      <w:r>
        <w:rPr>
          <w:rFonts w:eastAsia="Times New Roman"/>
        </w:rPr>
        <w:t>нципы установления требуемого дохода всех регулируемых предприятий в электроэнергетической отрасли Республики Таджикистан, за исключением Сангтудинской ГЭС-1 и Сангтудинской ГЭС-2, доход которых регулируются на основе отдельных инвестиционных соглашений, а</w:t>
      </w:r>
      <w:r>
        <w:rPr>
          <w:rFonts w:eastAsia="Times New Roman"/>
        </w:rPr>
        <w:t xml:space="preserve"> также объектов электроэнергетики, управление которыми в настоящее время осуществляется в рамках концессионных соглашений (в том числе, компании "Памир Энерджи").</w:t>
      </w:r>
    </w:p>
    <w:p w:rsidR="00000000" w:rsidRDefault="00FE3B23">
      <w:pPr>
        <w:numPr>
          <w:ilvl w:val="0"/>
          <w:numId w:val="4"/>
        </w:numPr>
        <w:spacing w:before="100" w:beforeAutospacing="1" w:after="100" w:afterAutospacing="1"/>
        <w:rPr>
          <w:rFonts w:eastAsia="Times New Roman"/>
        </w:rPr>
      </w:pPr>
      <w:r>
        <w:rPr>
          <w:rFonts w:eastAsia="Times New Roman"/>
        </w:rPr>
        <w:t>В соответствии с этими принципами совокупный требуемый доход регулируемых предприятий состоит</w:t>
      </w:r>
      <w:r>
        <w:rPr>
          <w:rFonts w:eastAsia="Times New Roman"/>
        </w:rPr>
        <w:t xml:space="preserve"> из следующих основных компонентов:</w:t>
      </w:r>
    </w:p>
    <w:p w:rsidR="00000000" w:rsidRDefault="00FE3B23">
      <w:pPr>
        <w:pStyle w:val="a3"/>
      </w:pPr>
      <w:r>
        <w:t>- производственные затраты на эксплуатацию и техническое обслуживание;</w:t>
      </w:r>
    </w:p>
    <w:p w:rsidR="00000000" w:rsidRDefault="00FE3B23">
      <w:pPr>
        <w:pStyle w:val="a3"/>
      </w:pPr>
      <w:r>
        <w:t>- амортизационные отчисления (износ основных средств);</w:t>
      </w:r>
    </w:p>
    <w:p w:rsidR="00000000" w:rsidRDefault="00FE3B23">
      <w:pPr>
        <w:pStyle w:val="a3"/>
      </w:pPr>
      <w:r>
        <w:t>- другие неучтенные затраты;</w:t>
      </w:r>
    </w:p>
    <w:p w:rsidR="00000000" w:rsidRDefault="00FE3B23">
      <w:pPr>
        <w:pStyle w:val="a3"/>
      </w:pPr>
      <w:r>
        <w:t>- доход от инвестиций.</w:t>
      </w:r>
    </w:p>
    <w:p w:rsidR="00000000" w:rsidRDefault="00FE3B23">
      <w:pPr>
        <w:pStyle w:val="a3"/>
      </w:pPr>
      <w:r>
        <w:t> </w:t>
      </w:r>
    </w:p>
    <w:p w:rsidR="00000000" w:rsidRDefault="00FE3B23">
      <w:pPr>
        <w:pStyle w:val="5"/>
        <w:rPr>
          <w:rFonts w:eastAsia="Times New Roman"/>
        </w:rPr>
      </w:pPr>
      <w:r>
        <w:rPr>
          <w:rFonts w:eastAsia="Times New Roman"/>
        </w:rPr>
        <w:t>§ 1. Производственные затраты на эксплуа</w:t>
      </w:r>
      <w:r>
        <w:rPr>
          <w:rFonts w:eastAsia="Times New Roman"/>
        </w:rPr>
        <w:t>тацию и техническое обслуживание</w:t>
      </w:r>
    </w:p>
    <w:p w:rsidR="00000000" w:rsidRDefault="00FE3B23">
      <w:pPr>
        <w:pStyle w:val="a3"/>
      </w:pPr>
      <w:r>
        <w:t> </w:t>
      </w:r>
    </w:p>
    <w:p w:rsidR="00000000" w:rsidRDefault="00FE3B23">
      <w:pPr>
        <w:numPr>
          <w:ilvl w:val="0"/>
          <w:numId w:val="5"/>
        </w:numPr>
        <w:spacing w:before="100" w:beforeAutospacing="1" w:after="100" w:afterAutospacing="1"/>
        <w:rPr>
          <w:rFonts w:eastAsia="Times New Roman"/>
        </w:rPr>
      </w:pPr>
      <w:r>
        <w:rPr>
          <w:rFonts w:eastAsia="Times New Roman"/>
        </w:rPr>
        <w:t xml:space="preserve">Только те затраты, которые являются обоснованными и необходимыми для предоставления потребителям услуг электроснабжения, должны быть включены в допустимые расходы для расчета требуемого дохода. Эти расходы могут включать </w:t>
      </w:r>
      <w:r>
        <w:rPr>
          <w:rFonts w:eastAsia="Times New Roman"/>
        </w:rPr>
        <w:t>в себя затраты на оплату труда, затраты на содержание и техническое обслуживание, затраты на топливо, административные расходы, расходы на эксплуатационные принадлежности и запасные части, покупку электроэнергии, налоги (кроме подоходного налога), и различ</w:t>
      </w:r>
      <w:r>
        <w:rPr>
          <w:rFonts w:eastAsia="Times New Roman"/>
        </w:rPr>
        <w:t>ные другие расходы, связанные с предоставлением услуг, перечень которых приведен в отраслевых нормативных документах.</w:t>
      </w:r>
    </w:p>
    <w:p w:rsidR="00000000" w:rsidRDefault="00FE3B23">
      <w:pPr>
        <w:pStyle w:val="a3"/>
      </w:pPr>
      <w:r>
        <w:t> </w:t>
      </w:r>
    </w:p>
    <w:p w:rsidR="00000000" w:rsidRDefault="00FE3B23">
      <w:pPr>
        <w:pStyle w:val="5"/>
        <w:rPr>
          <w:rFonts w:eastAsia="Times New Roman"/>
        </w:rPr>
      </w:pPr>
      <w:r>
        <w:rPr>
          <w:rFonts w:eastAsia="Times New Roman"/>
        </w:rPr>
        <w:t>§2. Амортизационные отчисления</w:t>
      </w:r>
    </w:p>
    <w:p w:rsidR="00000000" w:rsidRDefault="00FE3B23">
      <w:pPr>
        <w:pStyle w:val="a3"/>
      </w:pPr>
      <w:r>
        <w:t> </w:t>
      </w:r>
    </w:p>
    <w:p w:rsidR="00000000" w:rsidRDefault="00FE3B23">
      <w:pPr>
        <w:numPr>
          <w:ilvl w:val="0"/>
          <w:numId w:val="6"/>
        </w:numPr>
        <w:spacing w:before="100" w:beforeAutospacing="1" w:after="100" w:afterAutospacing="1"/>
        <w:rPr>
          <w:rFonts w:eastAsia="Times New Roman"/>
        </w:rPr>
      </w:pPr>
      <w:r>
        <w:rPr>
          <w:rFonts w:eastAsia="Times New Roman"/>
        </w:rPr>
        <w:t>Расходы на амортизацию учитывают уменьшение стоимости актива с течением времени, в частности из-за износа. Это уменьшение стоимости рассчитывается путем распределения стоимости актива на каждый год срока его полезной службы.</w:t>
      </w:r>
    </w:p>
    <w:p w:rsidR="00000000" w:rsidRDefault="00FE3B23">
      <w:pPr>
        <w:numPr>
          <w:ilvl w:val="0"/>
          <w:numId w:val="6"/>
        </w:numPr>
        <w:spacing w:before="100" w:beforeAutospacing="1" w:after="100" w:afterAutospacing="1"/>
        <w:rPr>
          <w:rFonts w:eastAsia="Times New Roman"/>
        </w:rPr>
      </w:pPr>
      <w:r>
        <w:rPr>
          <w:rFonts w:eastAsia="Times New Roman"/>
        </w:rPr>
        <w:t>Годовые амортизационные расходы</w:t>
      </w:r>
      <w:r>
        <w:rPr>
          <w:rFonts w:eastAsia="Times New Roman"/>
        </w:rPr>
        <w:t xml:space="preserve"> гидроэлектростанции, срок эксплуатации которой 50 лет, составляют 2 процента от стоимости приобретения данного актива (переоцененной в установленном порядке). В то время как ежегодные расходы на амортизацию объектов передачи и распределения электроэнергии</w:t>
      </w:r>
      <w:r>
        <w:rPr>
          <w:rFonts w:eastAsia="Times New Roman"/>
        </w:rPr>
        <w:t>, срок эксплуатации которых от 30 до 35 лет, составляют около 3 процента от стоимости приобретения переоцененной в установленном порядке.</w:t>
      </w:r>
    </w:p>
    <w:p w:rsidR="00000000" w:rsidRDefault="00FE3B23">
      <w:pPr>
        <w:numPr>
          <w:ilvl w:val="0"/>
          <w:numId w:val="6"/>
        </w:numPr>
        <w:spacing w:before="100" w:beforeAutospacing="1" w:after="100" w:afterAutospacing="1"/>
        <w:rPr>
          <w:rFonts w:eastAsia="Times New Roman"/>
        </w:rPr>
      </w:pPr>
      <w:r>
        <w:rPr>
          <w:rFonts w:eastAsia="Times New Roman"/>
        </w:rPr>
        <w:t>Учитывая преобладание объектов гидроэнергетики среди генерирующих активов, допустимая норма амортизации генерирующих о</w:t>
      </w:r>
      <w:r>
        <w:rPr>
          <w:rFonts w:eastAsia="Times New Roman"/>
        </w:rPr>
        <w:t>бъектов молсет быть изначально установлена на уровне 2 процентов для любого регулируемого предприятия, для которого функция производства электроэнергии является основной, и 3 процента для регулируемого предприятия, выполняющего все остальные функции.</w:t>
      </w:r>
    </w:p>
    <w:p w:rsidR="00000000" w:rsidRDefault="00FE3B23">
      <w:pPr>
        <w:pStyle w:val="a3"/>
      </w:pPr>
      <w:r>
        <w:t> </w:t>
      </w:r>
    </w:p>
    <w:p w:rsidR="00000000" w:rsidRDefault="00FE3B23">
      <w:pPr>
        <w:pStyle w:val="5"/>
        <w:rPr>
          <w:rFonts w:eastAsia="Times New Roman"/>
        </w:rPr>
      </w:pPr>
      <w:r>
        <w:rPr>
          <w:rFonts w:eastAsia="Times New Roman"/>
        </w:rPr>
        <w:t>§3.</w:t>
      </w:r>
      <w:r>
        <w:rPr>
          <w:rFonts w:eastAsia="Times New Roman"/>
        </w:rPr>
        <w:t xml:space="preserve"> Другие неучтенные затраты</w:t>
      </w:r>
    </w:p>
    <w:p w:rsidR="00000000" w:rsidRDefault="00FE3B23">
      <w:pPr>
        <w:pStyle w:val="a3"/>
      </w:pPr>
      <w:r>
        <w:t> </w:t>
      </w:r>
    </w:p>
    <w:p w:rsidR="00000000" w:rsidRDefault="00FE3B23">
      <w:pPr>
        <w:numPr>
          <w:ilvl w:val="0"/>
          <w:numId w:val="7"/>
        </w:numPr>
        <w:spacing w:before="100" w:beforeAutospacing="1" w:after="100" w:afterAutospacing="1"/>
        <w:rPr>
          <w:rFonts w:eastAsia="Times New Roman"/>
        </w:rPr>
      </w:pPr>
      <w:r>
        <w:rPr>
          <w:rFonts w:eastAsia="Times New Roman"/>
        </w:rPr>
        <w:t>Перечень других затрат, учитываемые для определения требуемого дохода регулируемых предприятий, предусматривается в Учетной политике Открытой акционерной холдинговой компании "Барки Точик".</w:t>
      </w:r>
    </w:p>
    <w:p w:rsidR="00000000" w:rsidRDefault="00FE3B23">
      <w:pPr>
        <w:pStyle w:val="a3"/>
      </w:pPr>
      <w:r>
        <w:t> </w:t>
      </w:r>
    </w:p>
    <w:p w:rsidR="00000000" w:rsidRDefault="00FE3B23">
      <w:pPr>
        <w:pStyle w:val="5"/>
        <w:rPr>
          <w:rFonts w:eastAsia="Times New Roman"/>
        </w:rPr>
      </w:pPr>
      <w:r>
        <w:rPr>
          <w:rFonts w:eastAsia="Times New Roman"/>
        </w:rPr>
        <w:t>§4. Доход от инвестиций</w:t>
      </w:r>
    </w:p>
    <w:p w:rsidR="00000000" w:rsidRDefault="00FE3B23">
      <w:pPr>
        <w:pStyle w:val="a3"/>
      </w:pPr>
      <w:r>
        <w:t> </w:t>
      </w:r>
    </w:p>
    <w:p w:rsidR="00000000" w:rsidRDefault="00FE3B23">
      <w:pPr>
        <w:numPr>
          <w:ilvl w:val="0"/>
          <w:numId w:val="8"/>
        </w:numPr>
        <w:spacing w:before="100" w:beforeAutospacing="1" w:after="100" w:afterAutospacing="1"/>
        <w:rPr>
          <w:rFonts w:eastAsia="Times New Roman"/>
        </w:rPr>
      </w:pPr>
      <w:r>
        <w:rPr>
          <w:rFonts w:eastAsia="Times New Roman"/>
        </w:rPr>
        <w:t>Норма дох</w:t>
      </w:r>
      <w:r>
        <w:rPr>
          <w:rFonts w:eastAsia="Times New Roman"/>
        </w:rPr>
        <w:t>одности на капитальные вложения для предприятий электроэнергетической отрасли устанавливается на уровне, позволяющей привлекать инвестиции в электроэнергетическую отрасль для создания требуемого потенциала энергосистемы в удовлетворении потребностей эконом</w:t>
      </w:r>
      <w:r>
        <w:rPr>
          <w:rFonts w:eastAsia="Times New Roman"/>
        </w:rPr>
        <w:t>ики и социальной сферы в электричестве и возможности образовывать необходимый избыток денежных средств, достаточный для роста и развития отрасли.</w:t>
      </w:r>
    </w:p>
    <w:p w:rsidR="00000000" w:rsidRDefault="00FE3B23">
      <w:pPr>
        <w:numPr>
          <w:ilvl w:val="0"/>
          <w:numId w:val="8"/>
        </w:numPr>
        <w:spacing w:before="100" w:beforeAutospacing="1" w:after="100" w:afterAutospacing="1"/>
        <w:rPr>
          <w:rFonts w:eastAsia="Times New Roman"/>
        </w:rPr>
      </w:pPr>
      <w:r>
        <w:rPr>
          <w:rFonts w:eastAsia="Times New Roman"/>
        </w:rPr>
        <w:t>Назначение инвестиционного капитала заключается в финансировании основных средств и других активов, используем</w:t>
      </w:r>
      <w:r>
        <w:rPr>
          <w:rFonts w:eastAsia="Times New Roman"/>
        </w:rPr>
        <w:t>ых для последующего предоставления услуг по поставке электроэнергии потребителям. Следовательно, такого рода активы являются подходящей основой для расчёта дохода на инвестированный капитал. Данная основа будет определена как регулируемая база активов.</w:t>
      </w:r>
    </w:p>
    <w:p w:rsidR="00000000" w:rsidRDefault="00FE3B23">
      <w:pPr>
        <w:numPr>
          <w:ilvl w:val="0"/>
          <w:numId w:val="8"/>
        </w:numPr>
        <w:spacing w:before="100" w:beforeAutospacing="1" w:after="100" w:afterAutospacing="1"/>
        <w:rPr>
          <w:rFonts w:eastAsia="Times New Roman"/>
        </w:rPr>
      </w:pPr>
      <w:r>
        <w:rPr>
          <w:rFonts w:eastAsia="Times New Roman"/>
        </w:rPr>
        <w:t>Рег</w:t>
      </w:r>
      <w:r>
        <w:rPr>
          <w:rFonts w:eastAsia="Times New Roman"/>
        </w:rPr>
        <w:t>улируемая база активов должна быть равна затратам регулируемого предприятия на приобретение основных средств за вычетом накопленных амортизационных отчислений.</w:t>
      </w:r>
    </w:p>
    <w:p w:rsidR="00000000" w:rsidRDefault="00FE3B23">
      <w:pPr>
        <w:numPr>
          <w:ilvl w:val="0"/>
          <w:numId w:val="8"/>
        </w:numPr>
        <w:spacing w:before="100" w:beforeAutospacing="1" w:after="100" w:afterAutospacing="1"/>
        <w:rPr>
          <w:rFonts w:eastAsia="Times New Roman"/>
        </w:rPr>
      </w:pPr>
      <w:r>
        <w:rPr>
          <w:rFonts w:eastAsia="Times New Roman"/>
        </w:rPr>
        <w:t>Инвестированный капитал включает в себя долгосрочный долг и акционерный капитал. Допускаемая дох</w:t>
      </w:r>
      <w:r>
        <w:rPr>
          <w:rFonts w:eastAsia="Times New Roman"/>
        </w:rPr>
        <w:t>одность от регулируемой базы, активов равняется доходности по каждому из этих компонентов, взвешенных по доле каждого из них в структуре капитала регулируемого предприятия.</w:t>
      </w:r>
    </w:p>
    <w:p w:rsidR="00000000" w:rsidRDefault="00FE3B23">
      <w:pPr>
        <w:numPr>
          <w:ilvl w:val="0"/>
          <w:numId w:val="8"/>
        </w:numPr>
        <w:spacing w:before="100" w:beforeAutospacing="1" w:after="100" w:afterAutospacing="1"/>
        <w:rPr>
          <w:rFonts w:eastAsia="Times New Roman"/>
        </w:rPr>
      </w:pPr>
      <w:r>
        <w:rPr>
          <w:rFonts w:eastAsia="Times New Roman"/>
        </w:rPr>
        <w:t>Доходность по долговому компоненту должна быть равна средней процентной ставке по д</w:t>
      </w:r>
      <w:r>
        <w:rPr>
          <w:rFonts w:eastAsia="Times New Roman"/>
        </w:rPr>
        <w:t>олгосрочному долгу регулируемого предприятия. Доходность по компоненту акционерного капитала должна определяться регулирующим органом. При определении подходящей нормы доходности от акционерного капитала регулирующий орган гарантирует, что данная норма буд</w:t>
      </w:r>
      <w:r>
        <w:rPr>
          <w:rFonts w:eastAsia="Times New Roman"/>
        </w:rPr>
        <w:t>ет достаточно высока, чтобы:</w:t>
      </w:r>
    </w:p>
    <w:p w:rsidR="00000000" w:rsidRDefault="00FE3B23">
      <w:pPr>
        <w:pStyle w:val="a3"/>
      </w:pPr>
      <w:r>
        <w:t>- оплатить обязательства регулируемого предприятия по налогу на прибыль;</w:t>
      </w:r>
    </w:p>
    <w:p w:rsidR="00000000" w:rsidRDefault="00FE3B23">
      <w:pPr>
        <w:pStyle w:val="a3"/>
      </w:pPr>
      <w:r>
        <w:t>- выплачивать любые дивиденды, которые могут быть обоснованно востребованы со стороны акционеров регулируемого предприятия;</w:t>
      </w:r>
    </w:p>
    <w:p w:rsidR="00000000" w:rsidRDefault="00FE3B23">
      <w:pPr>
        <w:pStyle w:val="a3"/>
      </w:pPr>
      <w:r>
        <w:t>- вносить достаточные инвестиц</w:t>
      </w:r>
      <w:r>
        <w:t>ии в энергетические объекты в будущем.</w:t>
      </w:r>
    </w:p>
    <w:p w:rsidR="00000000" w:rsidRDefault="00FE3B23">
      <w:pPr>
        <w:numPr>
          <w:ilvl w:val="0"/>
          <w:numId w:val="9"/>
        </w:numPr>
        <w:spacing w:before="100" w:beforeAutospacing="1" w:after="100" w:afterAutospacing="1"/>
        <w:rPr>
          <w:rFonts w:eastAsia="Times New Roman"/>
        </w:rPr>
      </w:pPr>
      <w:r>
        <w:rPr>
          <w:rFonts w:eastAsia="Times New Roman"/>
        </w:rPr>
        <w:t>Норма доходности по регулируемой базе активов устанавливается уполномоченным регулирующим органом при разработке Методологии расчета тарифов.</w:t>
      </w:r>
    </w:p>
    <w:p w:rsidR="00000000" w:rsidRDefault="00FE3B23">
      <w:pPr>
        <w:numPr>
          <w:ilvl w:val="0"/>
          <w:numId w:val="9"/>
        </w:numPr>
        <w:spacing w:before="100" w:beforeAutospacing="1" w:after="100" w:afterAutospacing="1"/>
        <w:rPr>
          <w:rFonts w:eastAsia="Times New Roman"/>
        </w:rPr>
      </w:pPr>
      <w:r>
        <w:rPr>
          <w:rFonts w:eastAsia="Times New Roman"/>
        </w:rPr>
        <w:t>Образование уполномоченного органа регулирование отрасли и организация резу</w:t>
      </w:r>
      <w:r>
        <w:rPr>
          <w:rFonts w:eastAsia="Times New Roman"/>
        </w:rPr>
        <w:t>льтативной его деятельности, считается одним из первостепенных мер и реализации настоящей Концепции.</w:t>
      </w:r>
    </w:p>
    <w:p w:rsidR="00000000" w:rsidRDefault="00FE3B23">
      <w:pPr>
        <w:pStyle w:val="a3"/>
      </w:pPr>
      <w:r>
        <w:t> </w:t>
      </w:r>
    </w:p>
    <w:p w:rsidR="00000000" w:rsidRDefault="00FE3B23">
      <w:pPr>
        <w:pStyle w:val="4"/>
        <w:rPr>
          <w:rFonts w:eastAsia="Times New Roman"/>
        </w:rPr>
      </w:pPr>
      <w:r>
        <w:rPr>
          <w:rFonts w:eastAsia="Times New Roman"/>
        </w:rPr>
        <w:t>5. Горизонт прогнозирования и продолжительность периодов пересмотра тарифов</w:t>
      </w:r>
    </w:p>
    <w:p w:rsidR="00000000" w:rsidRDefault="00FE3B23">
      <w:pPr>
        <w:pStyle w:val="a3"/>
      </w:pPr>
      <w:r>
        <w:t> </w:t>
      </w:r>
    </w:p>
    <w:p w:rsidR="00000000" w:rsidRDefault="00FE3B23">
      <w:pPr>
        <w:numPr>
          <w:ilvl w:val="0"/>
          <w:numId w:val="10"/>
        </w:numPr>
        <w:spacing w:before="100" w:beforeAutospacing="1" w:after="100" w:afterAutospacing="1"/>
        <w:rPr>
          <w:rFonts w:eastAsia="Times New Roman"/>
        </w:rPr>
      </w:pPr>
      <w:r>
        <w:rPr>
          <w:rFonts w:eastAsia="Times New Roman"/>
        </w:rPr>
        <w:t>На первом этапе реализации Концепции новой тарифной политики для каждого вновь образованного предприятия ежегодно будут готовиться прогпочы требуемого дохода на пять лет, после чего тарифы на электрическую энергию будут соответствующим образом пересмотрены</w:t>
      </w:r>
      <w:r>
        <w:rPr>
          <w:rFonts w:eastAsia="Times New Roman"/>
        </w:rPr>
        <w:t xml:space="preserve"> и будут действовать в течение "контрольного срока" в течение одного года. Однако, с тем, чтобы минимизировать затраты на пересмотр тарифов, регулирующий орган может принять решение внедрить многолетний тарифный режим.</w:t>
      </w:r>
    </w:p>
    <w:p w:rsidR="00000000" w:rsidRDefault="00FE3B23">
      <w:pPr>
        <w:numPr>
          <w:ilvl w:val="0"/>
          <w:numId w:val="10"/>
        </w:numPr>
        <w:spacing w:before="100" w:beforeAutospacing="1" w:after="100" w:afterAutospacing="1"/>
        <w:rPr>
          <w:rFonts w:eastAsia="Times New Roman"/>
        </w:rPr>
      </w:pPr>
      <w:r>
        <w:rPr>
          <w:rFonts w:eastAsia="Times New Roman"/>
        </w:rPr>
        <w:t>Отклонения от прогнозируемых ключевых</w:t>
      </w:r>
      <w:r>
        <w:rPr>
          <w:rFonts w:eastAsia="Times New Roman"/>
        </w:rPr>
        <w:t xml:space="preserve"> допущений по уровню инфляции, стоимости топлива и другим факторам могут быть учтены путём использования соответствующей формулы корректировки, применяемой в конце каждого года в течение контрольного периода.</w:t>
      </w:r>
    </w:p>
    <w:p w:rsidR="00000000" w:rsidRDefault="00FE3B23">
      <w:pPr>
        <w:numPr>
          <w:ilvl w:val="0"/>
          <w:numId w:val="10"/>
        </w:numPr>
        <w:spacing w:before="100" w:beforeAutospacing="1" w:after="100" w:afterAutospacing="1"/>
        <w:rPr>
          <w:rFonts w:eastAsia="Times New Roman"/>
        </w:rPr>
      </w:pPr>
      <w:r>
        <w:rPr>
          <w:rFonts w:eastAsia="Times New Roman"/>
        </w:rPr>
        <w:t>Регулирующий орган подробно проработает многоле</w:t>
      </w:r>
      <w:r>
        <w:rPr>
          <w:rFonts w:eastAsia="Times New Roman"/>
        </w:rPr>
        <w:t>тний тарифный режим и формулу корректировки, если будет принято решение внедрить многолетний тариф. В конце контрольного периода будет проведён пересмотр тарифов, в ходе которого будут определены требуемые доходы на следующий контрольный период в соответст</w:t>
      </w:r>
      <w:r>
        <w:rPr>
          <w:rFonts w:eastAsia="Times New Roman"/>
        </w:rPr>
        <w:t>вии с руководством по требуемому доходу, изложенным выше.</w:t>
      </w:r>
    </w:p>
    <w:p w:rsidR="00000000" w:rsidRDefault="00FE3B23">
      <w:pPr>
        <w:pStyle w:val="a3"/>
      </w:pPr>
      <w:r>
        <w:t> </w:t>
      </w:r>
    </w:p>
    <w:p w:rsidR="00000000" w:rsidRDefault="00FE3B23">
      <w:pPr>
        <w:pStyle w:val="4"/>
        <w:rPr>
          <w:rFonts w:eastAsia="Times New Roman"/>
        </w:rPr>
      </w:pPr>
      <w:r>
        <w:rPr>
          <w:rFonts w:eastAsia="Times New Roman"/>
        </w:rPr>
        <w:t>6. Порядок определения тарифа для конечного потребителя</w:t>
      </w:r>
    </w:p>
    <w:p w:rsidR="00000000" w:rsidRDefault="00FE3B23">
      <w:pPr>
        <w:pStyle w:val="a3"/>
      </w:pPr>
      <w:r>
        <w:t> </w:t>
      </w:r>
    </w:p>
    <w:p w:rsidR="00000000" w:rsidRDefault="00FE3B23">
      <w:pPr>
        <w:numPr>
          <w:ilvl w:val="0"/>
          <w:numId w:val="11"/>
        </w:numPr>
        <w:spacing w:before="100" w:beforeAutospacing="1" w:after="100" w:afterAutospacing="1"/>
        <w:rPr>
          <w:rFonts w:eastAsia="Times New Roman"/>
        </w:rPr>
      </w:pPr>
      <w:r>
        <w:rPr>
          <w:rFonts w:eastAsia="Times New Roman"/>
        </w:rPr>
        <w:t>Возмещение затрат предприятий, оказывающих услуги в электроэнергетической отрасли, начинается на уровне распределения, при этом большинств</w:t>
      </w:r>
      <w:r>
        <w:rPr>
          <w:rFonts w:eastAsia="Times New Roman"/>
        </w:rPr>
        <w:t>о доходов идет вверх по цепочке от предприятия по распределению к предприятиям по производству и передаче электроэнергии. Следовательно, наличие эффективного и платежеспособного сегмента отрасли - то есть предприятий по распределению электроэнергии - являе</w:t>
      </w:r>
      <w:r>
        <w:rPr>
          <w:rFonts w:eastAsia="Times New Roman"/>
        </w:rPr>
        <w:t>тся первоочередным условием преобразованию, отрасли в том числе реализации настоящей Концепции.</w:t>
      </w:r>
    </w:p>
    <w:p w:rsidR="00000000" w:rsidRDefault="00FE3B23">
      <w:pPr>
        <w:numPr>
          <w:ilvl w:val="0"/>
          <w:numId w:val="11"/>
        </w:numPr>
        <w:spacing w:before="100" w:beforeAutospacing="1" w:after="100" w:afterAutospacing="1"/>
        <w:rPr>
          <w:rFonts w:eastAsia="Times New Roman"/>
        </w:rPr>
      </w:pPr>
      <w:r>
        <w:rPr>
          <w:rFonts w:eastAsia="Times New Roman"/>
        </w:rPr>
        <w:t>Значительные финансовые потери, которые в настоящее время несет электроэнергетическая отрасль страны, в большей степени связаны с неэффективностью в работе сект</w:t>
      </w:r>
      <w:r>
        <w:rPr>
          <w:rFonts w:eastAsia="Times New Roman"/>
        </w:rPr>
        <w:t>ора по распределению электроэнергии, включая очень низкие тарифы, потери энергии в энергосистеме и низкие уровни сбора средств. Сектор распределения необходимо преобразовать в прибыльный сектор, который может задействовать необходимые ресурсы для предостав</w:t>
      </w:r>
      <w:r>
        <w:rPr>
          <w:rFonts w:eastAsia="Times New Roman"/>
        </w:rPr>
        <w:t>ления услуг по международным стандартам.</w:t>
      </w:r>
    </w:p>
    <w:p w:rsidR="00000000" w:rsidRDefault="00FE3B23">
      <w:pPr>
        <w:numPr>
          <w:ilvl w:val="0"/>
          <w:numId w:val="11"/>
        </w:numPr>
        <w:spacing w:before="100" w:beforeAutospacing="1" w:after="100" w:afterAutospacing="1"/>
        <w:rPr>
          <w:rFonts w:eastAsia="Times New Roman"/>
        </w:rPr>
      </w:pPr>
      <w:r>
        <w:rPr>
          <w:rFonts w:eastAsia="Times New Roman"/>
        </w:rPr>
        <w:t>Тарифы для потребителей, обслуживаемых из системы распределения, должны отражать затраты и структуру затрат электроэнергетической отрасли.</w:t>
      </w:r>
    </w:p>
    <w:p w:rsidR="00000000" w:rsidRDefault="00FE3B23">
      <w:pPr>
        <w:numPr>
          <w:ilvl w:val="0"/>
          <w:numId w:val="11"/>
        </w:numPr>
        <w:spacing w:before="100" w:beforeAutospacing="1" w:after="100" w:afterAutospacing="1"/>
        <w:rPr>
          <w:rFonts w:eastAsia="Times New Roman"/>
        </w:rPr>
      </w:pPr>
      <w:r>
        <w:rPr>
          <w:rFonts w:eastAsia="Times New Roman"/>
        </w:rPr>
        <w:t>С целью отражения различий в затратах, возникающих вследствие предоставления</w:t>
      </w:r>
      <w:r>
        <w:rPr>
          <w:rFonts w:eastAsia="Times New Roman"/>
        </w:rPr>
        <w:t xml:space="preserve"> услуг по энергоснабжению на разных уровнях напряжения, тарифы для потребителей, обслуживаемых на высоких уровнях напряжения, будут ниже. Регулирующий орган может устанавливать сезонные тарифы для всех категорий потребителей, а с учетом технических возможн</w:t>
      </w:r>
      <w:r>
        <w:rPr>
          <w:rFonts w:eastAsia="Times New Roman"/>
        </w:rPr>
        <w:t>остей, также суточные тарифы в случае, если наблюдаются значительные различия в затратах, в зависимости от времени суток.</w:t>
      </w:r>
    </w:p>
    <w:p w:rsidR="00000000" w:rsidRDefault="00FE3B23">
      <w:pPr>
        <w:numPr>
          <w:ilvl w:val="0"/>
          <w:numId w:val="11"/>
        </w:numPr>
        <w:spacing w:before="100" w:beforeAutospacing="1" w:after="100" w:afterAutospacing="1"/>
        <w:rPr>
          <w:rFonts w:eastAsia="Times New Roman"/>
        </w:rPr>
      </w:pPr>
      <w:r>
        <w:rPr>
          <w:rFonts w:eastAsia="Times New Roman"/>
        </w:rPr>
        <w:t>С целью отражения характера фиксированных и переменных затрат электроснабжения, тарифы для индивидуальных потребителей должны включать</w:t>
      </w:r>
      <w:r>
        <w:rPr>
          <w:rFonts w:eastAsia="Times New Roman"/>
        </w:rPr>
        <w:t xml:space="preserve"> фиксированные и переменные расходы.</w:t>
      </w:r>
    </w:p>
    <w:p w:rsidR="00000000" w:rsidRDefault="00FE3B23">
      <w:pPr>
        <w:numPr>
          <w:ilvl w:val="0"/>
          <w:numId w:val="11"/>
        </w:numPr>
        <w:spacing w:before="100" w:beforeAutospacing="1" w:after="100" w:afterAutospacing="1"/>
        <w:rPr>
          <w:rFonts w:eastAsia="Times New Roman"/>
        </w:rPr>
      </w:pPr>
      <w:r>
        <w:rPr>
          <w:rFonts w:eastAsia="Times New Roman"/>
        </w:rPr>
        <w:t>С целью полного охвата всех потребителей, они должны быть разделены на следующие группы (категории):</w:t>
      </w:r>
    </w:p>
    <w:p w:rsidR="00000000" w:rsidRDefault="00FE3B23">
      <w:pPr>
        <w:pStyle w:val="a3"/>
      </w:pPr>
      <w:r>
        <w:t>а) Крупные промышленные и коммерческие потребители:</w:t>
      </w:r>
    </w:p>
    <w:p w:rsidR="00000000" w:rsidRDefault="00FE3B23">
      <w:pPr>
        <w:pStyle w:val="a3"/>
      </w:pPr>
      <w:r>
        <w:t>- крупные промышленные и коммерческие потребители, линий сверх выс</w:t>
      </w:r>
      <w:r>
        <w:t>окого напряжения (220 - 500 кВ);</w:t>
      </w:r>
    </w:p>
    <w:p w:rsidR="00000000" w:rsidRDefault="00FE3B23">
      <w:pPr>
        <w:pStyle w:val="a3"/>
      </w:pPr>
      <w:r>
        <w:t>- крупные промышленные и коммерческие потребители, высокого напряжения (35-110 кВ);</w:t>
      </w:r>
    </w:p>
    <w:p w:rsidR="00000000" w:rsidRDefault="00FE3B23">
      <w:pPr>
        <w:pStyle w:val="a3"/>
      </w:pPr>
      <w:r>
        <w:t>- крупные промышленные и коммерческие потребители, низкого напряжения (0,4-ЮкВ).</w:t>
      </w:r>
    </w:p>
    <w:p w:rsidR="00000000" w:rsidRDefault="00FE3B23">
      <w:pPr>
        <w:pStyle w:val="a3"/>
      </w:pPr>
      <w:r>
        <w:t>б) Бюджетные, коммунальные и транспортные предприятия:</w:t>
      </w:r>
    </w:p>
    <w:p w:rsidR="00000000" w:rsidRDefault="00FE3B23">
      <w:pPr>
        <w:pStyle w:val="a3"/>
      </w:pPr>
      <w:r>
        <w:t>- б</w:t>
      </w:r>
      <w:r>
        <w:t>юджетные и коммунальные предприятия, линий высокого напряжения (35-110 кВ);</w:t>
      </w:r>
    </w:p>
    <w:p w:rsidR="00000000" w:rsidRDefault="00FE3B23">
      <w:pPr>
        <w:pStyle w:val="a3"/>
      </w:pPr>
      <w:r>
        <w:t>- бюджетные и коммунальные предприятия, линий низкого напряжения (0,4-10кВ);</w:t>
      </w:r>
    </w:p>
    <w:p w:rsidR="00000000" w:rsidRDefault="00FE3B23">
      <w:pPr>
        <w:pStyle w:val="a3"/>
      </w:pPr>
      <w:r>
        <w:t>- уличное освещение, линий низкого напряжения (0,4-10кВ);</w:t>
      </w:r>
    </w:p>
    <w:p w:rsidR="00000000" w:rsidRDefault="00FE3B23">
      <w:pPr>
        <w:pStyle w:val="a3"/>
      </w:pPr>
      <w:r>
        <w:t>- электрифицированный транспорт, низкого напр</w:t>
      </w:r>
      <w:r>
        <w:t>яжения (0,4-10кВ);</w:t>
      </w:r>
    </w:p>
    <w:p w:rsidR="00000000" w:rsidRDefault="00FE3B23">
      <w:pPr>
        <w:pStyle w:val="a3"/>
      </w:pPr>
      <w:r>
        <w:t>- общее водоснабжение, высокого напряжения (35-110 кВ);</w:t>
      </w:r>
    </w:p>
    <w:p w:rsidR="00000000" w:rsidRDefault="00FE3B23">
      <w:pPr>
        <w:pStyle w:val="a3"/>
      </w:pPr>
      <w:r>
        <w:t>- общее водоснабжение, низкого напряжения (0,4-10кВ);</w:t>
      </w:r>
    </w:p>
    <w:p w:rsidR="00000000" w:rsidRDefault="00FE3B23">
      <w:pPr>
        <w:pStyle w:val="a3"/>
      </w:pPr>
      <w:r>
        <w:t>- ирригация, высокого напряжения (внепиковое) (35-110 кВ);</w:t>
      </w:r>
    </w:p>
    <w:p w:rsidR="00000000" w:rsidRDefault="00FE3B23">
      <w:pPr>
        <w:pStyle w:val="a3"/>
      </w:pPr>
      <w:r>
        <w:t>- ирригация, низкого напряжения (внепиковое) (0,4-10кВ).</w:t>
      </w:r>
    </w:p>
    <w:p w:rsidR="00000000" w:rsidRDefault="00FE3B23">
      <w:pPr>
        <w:pStyle w:val="a3"/>
      </w:pPr>
      <w:r>
        <w:t>в) Население, населенные пункты и общежития: городское население, низкого напряжения (0,4-10кВ);</w:t>
      </w:r>
    </w:p>
    <w:p w:rsidR="00000000" w:rsidRDefault="00FE3B23">
      <w:pPr>
        <w:pStyle w:val="a3"/>
      </w:pPr>
      <w:r>
        <w:t>- сельское население, низкого напряжения (0,4-10кВ);</w:t>
      </w:r>
    </w:p>
    <w:p w:rsidR="00000000" w:rsidRDefault="00FE3B23">
      <w:pPr>
        <w:pStyle w:val="a3"/>
      </w:pPr>
      <w:r>
        <w:t>- имеющие общий расчётный прибор учёта, низкого напряжения (0,4-10кВ);</w:t>
      </w:r>
    </w:p>
    <w:p w:rsidR="00000000" w:rsidRDefault="00FE3B23">
      <w:pPr>
        <w:pStyle w:val="a3"/>
      </w:pPr>
      <w:r>
        <w:t>- прочие потребители (0,4-10кВ).</w:t>
      </w:r>
    </w:p>
    <w:p w:rsidR="00000000" w:rsidRDefault="00FE3B23">
      <w:pPr>
        <w:pStyle w:val="a3"/>
      </w:pPr>
      <w:r>
        <w:t> </w:t>
      </w:r>
    </w:p>
    <w:p w:rsidR="00000000" w:rsidRDefault="00FE3B23">
      <w:pPr>
        <w:pStyle w:val="4"/>
        <w:rPr>
          <w:rFonts w:eastAsia="Times New Roman"/>
        </w:rPr>
      </w:pPr>
      <w:r>
        <w:rPr>
          <w:rFonts w:eastAsia="Times New Roman"/>
        </w:rPr>
        <w:t>7. Методы определения тарифов на электроэнергию для предприятий отдельных направлений деятельности в электроэнергетической отрасли (после реструктуризации Открытой акционерной холдинговой компании "Барки Точик")</w:t>
      </w:r>
    </w:p>
    <w:p w:rsidR="00000000" w:rsidRDefault="00FE3B23">
      <w:pPr>
        <w:pStyle w:val="5"/>
        <w:rPr>
          <w:rFonts w:eastAsia="Times New Roman"/>
        </w:rPr>
      </w:pPr>
      <w:r>
        <w:rPr>
          <w:rFonts w:eastAsia="Times New Roman"/>
        </w:rPr>
        <w:t>§1. Модель тарифа для предприятий по выработ</w:t>
      </w:r>
      <w:r>
        <w:rPr>
          <w:rFonts w:eastAsia="Times New Roman"/>
        </w:rPr>
        <w:t>ке электроэнергии</w:t>
      </w:r>
    </w:p>
    <w:p w:rsidR="00000000" w:rsidRDefault="00FE3B23">
      <w:pPr>
        <w:pStyle w:val="a3"/>
      </w:pPr>
      <w:r>
        <w:t> </w:t>
      </w:r>
    </w:p>
    <w:p w:rsidR="00000000" w:rsidRDefault="00FE3B23">
      <w:pPr>
        <w:numPr>
          <w:ilvl w:val="0"/>
          <w:numId w:val="12"/>
        </w:numPr>
        <w:spacing w:before="100" w:beforeAutospacing="1" w:after="100" w:afterAutospacing="1"/>
        <w:rPr>
          <w:rFonts w:eastAsia="Times New Roman"/>
        </w:rPr>
      </w:pPr>
      <w:r>
        <w:rPr>
          <w:rFonts w:eastAsia="Times New Roman"/>
        </w:rPr>
        <w:t>Тарифы генерации электроэнергии для каждой электростанции должны отражать структуру затрат конкретной электростанции и состоять из двух частей, в том числе:</w:t>
      </w:r>
    </w:p>
    <w:p w:rsidR="00000000" w:rsidRDefault="00FE3B23">
      <w:pPr>
        <w:pStyle w:val="a3"/>
      </w:pPr>
      <w:r>
        <w:t>- плата за отпущенную электроэнергию, рассчитанную в кВт.ч., будет отражать пер</w:t>
      </w:r>
      <w:r>
        <w:t>еменные затраты каждой электростанции на поставку электроэнергии;</w:t>
      </w:r>
    </w:p>
    <w:p w:rsidR="00000000" w:rsidRDefault="00FE3B23">
      <w:pPr>
        <w:pStyle w:val="a3"/>
      </w:pPr>
      <w:r>
        <w:t>- плата за мощность будет включать в себя все другие затратные составляющие совокупного требуемого дохода электростанции.</w:t>
      </w:r>
    </w:p>
    <w:p w:rsidR="00000000" w:rsidRDefault="00FE3B23">
      <w:pPr>
        <w:numPr>
          <w:ilvl w:val="0"/>
          <w:numId w:val="13"/>
        </w:numPr>
        <w:spacing w:before="100" w:beforeAutospacing="1" w:after="100" w:afterAutospacing="1"/>
        <w:rPr>
          <w:rFonts w:eastAsia="Times New Roman"/>
        </w:rPr>
      </w:pPr>
      <w:r>
        <w:rPr>
          <w:rFonts w:eastAsia="Times New Roman"/>
        </w:rPr>
        <w:t>Фиксированная плата за мощность и переменная плата за электроэнергию</w:t>
      </w:r>
      <w:r>
        <w:rPr>
          <w:rFonts w:eastAsia="Times New Roman"/>
        </w:rPr>
        <w:t xml:space="preserve"> дадут возможность обеспечить диспетчерское управление электростанциями на основе ранжирования для удовлетворения нагрузки, то есть в порядке от наименьших предельных затрат производства к наибольшим.</w:t>
      </w:r>
    </w:p>
    <w:p w:rsidR="00000000" w:rsidRDefault="00FE3B23">
      <w:pPr>
        <w:numPr>
          <w:ilvl w:val="0"/>
          <w:numId w:val="13"/>
        </w:numPr>
        <w:spacing w:before="100" w:beforeAutospacing="1" w:after="100" w:afterAutospacing="1"/>
        <w:rPr>
          <w:rFonts w:eastAsia="Times New Roman"/>
        </w:rPr>
      </w:pPr>
      <w:r>
        <w:rPr>
          <w:rFonts w:eastAsia="Times New Roman"/>
        </w:rPr>
        <w:t>Регулирующий орган может разработать и включить соответ</w:t>
      </w:r>
      <w:r>
        <w:rPr>
          <w:rFonts w:eastAsia="Times New Roman"/>
        </w:rPr>
        <w:t>ствующие средства поощрения в вышеуказанную структуру тарифов генерации, чтобы максимально повысить техническую готовность генерирующей станции, особенно в зимний период, когда наблюдается дефицит электрической энергии.</w:t>
      </w:r>
    </w:p>
    <w:p w:rsidR="00000000" w:rsidRDefault="00FE3B23">
      <w:pPr>
        <w:pStyle w:val="a3"/>
      </w:pPr>
      <w:r>
        <w:t> </w:t>
      </w:r>
    </w:p>
    <w:p w:rsidR="00000000" w:rsidRDefault="00FE3B23">
      <w:pPr>
        <w:pStyle w:val="5"/>
        <w:rPr>
          <w:rFonts w:eastAsia="Times New Roman"/>
        </w:rPr>
      </w:pPr>
      <w:r>
        <w:rPr>
          <w:rFonts w:eastAsia="Times New Roman"/>
        </w:rPr>
        <w:t xml:space="preserve">§2. Модель тарифа для предприятий </w:t>
      </w:r>
      <w:r>
        <w:rPr>
          <w:rFonts w:eastAsia="Times New Roman"/>
        </w:rPr>
        <w:t>по передаче электроэнергии</w:t>
      </w:r>
    </w:p>
    <w:p w:rsidR="00000000" w:rsidRDefault="00FE3B23">
      <w:pPr>
        <w:pStyle w:val="a3"/>
      </w:pPr>
      <w:r>
        <w:t> </w:t>
      </w:r>
    </w:p>
    <w:p w:rsidR="00000000" w:rsidRDefault="00FE3B23">
      <w:pPr>
        <w:numPr>
          <w:ilvl w:val="0"/>
          <w:numId w:val="14"/>
        </w:numPr>
        <w:spacing w:before="100" w:beforeAutospacing="1" w:after="100" w:afterAutospacing="1"/>
        <w:rPr>
          <w:rFonts w:eastAsia="Times New Roman"/>
        </w:rPr>
      </w:pPr>
      <w:r>
        <w:rPr>
          <w:rFonts w:eastAsia="Times New Roman"/>
        </w:rPr>
        <w:t>На начальном этапе функция системного оператора энергосистемы Таджикистана должна находиться в составе предприятия по передаче. Но по мере развития рынка электроэнергии в Таджикистане предполагается, что функция системного опер</w:t>
      </w:r>
      <w:r>
        <w:rPr>
          <w:rFonts w:eastAsia="Times New Roman"/>
        </w:rPr>
        <w:t>атора, а также функция денежных расчетов между различными участниками рынка электроэнергии, которые будут выполняться системным оператором, как самостоятельной структурой уполномоченной Правительством Республики Таджикистан, будет выведены из состава предп</w:t>
      </w:r>
      <w:r>
        <w:rPr>
          <w:rFonts w:eastAsia="Times New Roman"/>
        </w:rPr>
        <w:t>риятия по передачи.</w:t>
      </w:r>
    </w:p>
    <w:p w:rsidR="00000000" w:rsidRDefault="00FE3B23">
      <w:pPr>
        <w:numPr>
          <w:ilvl w:val="0"/>
          <w:numId w:val="14"/>
        </w:numPr>
        <w:spacing w:before="100" w:beforeAutospacing="1" w:after="100" w:afterAutospacing="1"/>
        <w:rPr>
          <w:rFonts w:eastAsia="Times New Roman"/>
        </w:rPr>
      </w:pPr>
      <w:r>
        <w:rPr>
          <w:rFonts w:eastAsia="Times New Roman"/>
        </w:rPr>
        <w:t>Затраты передачи в основном представляют собой функцию спроса на передающие объекты, которые измеряются в мегаваттах (МВт). Относительные затраты на использование системы передачи большим числом пользователей в первую очередь зависят от</w:t>
      </w:r>
      <w:r>
        <w:rPr>
          <w:rFonts w:eastAsia="Times New Roman"/>
        </w:rPr>
        <w:t xml:space="preserve"> нагрузки, которую эти пользователи накладывают на систему. Исходя из этого, требуемый доход передачи должен быть распределен между пользователями в зависимости от их нагрузки, рассчитанной в МВт.</w:t>
      </w:r>
    </w:p>
    <w:p w:rsidR="00000000" w:rsidRDefault="00FE3B23">
      <w:pPr>
        <w:pStyle w:val="a3"/>
      </w:pPr>
      <w:r>
        <w:t> </w:t>
      </w:r>
    </w:p>
    <w:p w:rsidR="00000000" w:rsidRDefault="00FE3B23">
      <w:pPr>
        <w:pStyle w:val="4"/>
        <w:rPr>
          <w:rFonts w:eastAsia="Times New Roman"/>
        </w:rPr>
      </w:pPr>
      <w:r>
        <w:rPr>
          <w:rFonts w:eastAsia="Times New Roman"/>
        </w:rPr>
        <w:t>8. Защита малоимущих и уязвимых групп населения</w:t>
      </w:r>
    </w:p>
    <w:p w:rsidR="00000000" w:rsidRDefault="00FE3B23">
      <w:pPr>
        <w:pStyle w:val="a3"/>
      </w:pPr>
      <w:r>
        <w:t> </w:t>
      </w:r>
    </w:p>
    <w:p w:rsidR="00000000" w:rsidRDefault="00FE3B23">
      <w:pPr>
        <w:numPr>
          <w:ilvl w:val="0"/>
          <w:numId w:val="15"/>
        </w:numPr>
        <w:spacing w:before="100" w:beforeAutospacing="1" w:after="100" w:afterAutospacing="1"/>
        <w:rPr>
          <w:rFonts w:eastAsia="Times New Roman"/>
        </w:rPr>
      </w:pPr>
      <w:r>
        <w:rPr>
          <w:rFonts w:eastAsia="Times New Roman"/>
        </w:rPr>
        <w:t>В соотв</w:t>
      </w:r>
      <w:r>
        <w:rPr>
          <w:rFonts w:eastAsia="Times New Roman"/>
        </w:rPr>
        <w:t>етствии с распоряжением Президента Республики Таджикистан от б октября 2015 года, №РП-594 проводится оценка последствий для потребителей с низким уровнем дохода в связи с потенциальным увеличением тарифов на электрическую энергию и при необходимости ежегод</w:t>
      </w:r>
      <w:r>
        <w:rPr>
          <w:rFonts w:eastAsia="Times New Roman"/>
        </w:rPr>
        <w:t>но предусматриваются средства для реализации Программы по оказанию социальной помощи за счёт государственного бюджета. Таким образом, регулирование тарифов должно гарантировать доступ потребителей, особенно для малообеспеченных и уязвимых слоев населения к</w:t>
      </w:r>
      <w:r>
        <w:rPr>
          <w:rFonts w:eastAsia="Times New Roman"/>
        </w:rPr>
        <w:t xml:space="preserve"> электроэнергии. С этой целью упомянутым группам населения Правительство Республики Таджикистан предложит субсидии с тем, чтобы повышение тарифов на первом этапе реализации Концепции тарифного регулирования не привело к резкому падению социально-экономичес</w:t>
      </w:r>
      <w:r>
        <w:rPr>
          <w:rFonts w:eastAsia="Times New Roman"/>
        </w:rPr>
        <w:t>кого положения граждан.</w:t>
      </w:r>
    </w:p>
    <w:p w:rsidR="00000000" w:rsidRDefault="00FE3B23">
      <w:pPr>
        <w:numPr>
          <w:ilvl w:val="0"/>
          <w:numId w:val="15"/>
        </w:numPr>
        <w:spacing w:before="100" w:beforeAutospacing="1" w:after="100" w:afterAutospacing="1"/>
        <w:rPr>
          <w:rFonts w:eastAsia="Times New Roman"/>
        </w:rPr>
      </w:pPr>
      <w:r>
        <w:rPr>
          <w:rFonts w:eastAsia="Times New Roman"/>
        </w:rPr>
        <w:t>Правительство Республики Таджикистан может устанавливать льготные (социальные) тарифы для малообеспеченных и уязвимых потребителей.</w:t>
      </w:r>
    </w:p>
    <w:p w:rsidR="00000000" w:rsidRDefault="00FE3B23">
      <w:pPr>
        <w:numPr>
          <w:ilvl w:val="0"/>
          <w:numId w:val="15"/>
        </w:numPr>
        <w:spacing w:before="100" w:beforeAutospacing="1" w:after="100" w:afterAutospacing="1"/>
        <w:rPr>
          <w:rFonts w:eastAsia="Times New Roman"/>
        </w:rPr>
      </w:pPr>
      <w:r>
        <w:rPr>
          <w:rFonts w:eastAsia="Times New Roman"/>
        </w:rPr>
        <w:t>С целью смягчения влияния на потребителей от повышения тарифов на электроэнергию, в соответствии с механизмами субсидирования энергетической эффективности, установленными в Законе Республики Таджикистан "Об энергосбережении и энергоэффективностн", Правител</w:t>
      </w:r>
      <w:r>
        <w:rPr>
          <w:rFonts w:eastAsia="Times New Roman"/>
        </w:rPr>
        <w:t>ьство Республики Таджикистан рассмотрит возможность разработки механизма предоставления юридическим (в частности в сельскохозяйственном секторе) и физическим лицам (в частности малообеспеченным и уязвимым потребителям) дотаций, кредитов и иных льгот.</w:t>
      </w:r>
    </w:p>
    <w:p w:rsidR="00000000" w:rsidRDefault="00FE3B23">
      <w:pPr>
        <w:pStyle w:val="a3"/>
      </w:pPr>
      <w:r>
        <w:t> </w:t>
      </w:r>
    </w:p>
    <w:p w:rsidR="00000000" w:rsidRDefault="00FE3B23">
      <w:pPr>
        <w:pStyle w:val="4"/>
        <w:rPr>
          <w:rFonts w:eastAsia="Times New Roman"/>
        </w:rPr>
      </w:pPr>
      <w:r>
        <w:rPr>
          <w:rFonts w:eastAsia="Times New Roman"/>
        </w:rPr>
        <w:t xml:space="preserve">9. </w:t>
      </w:r>
      <w:r>
        <w:rPr>
          <w:rFonts w:eastAsia="Times New Roman"/>
        </w:rPr>
        <w:t>Сроки реализации Концепции</w:t>
      </w:r>
    </w:p>
    <w:p w:rsidR="00000000" w:rsidRDefault="00FE3B23">
      <w:pPr>
        <w:pStyle w:val="a3"/>
      </w:pPr>
      <w:r>
        <w:t> </w:t>
      </w:r>
    </w:p>
    <w:p w:rsidR="00000000" w:rsidRDefault="00FE3B23">
      <w:pPr>
        <w:numPr>
          <w:ilvl w:val="0"/>
          <w:numId w:val="16"/>
        </w:numPr>
        <w:spacing w:before="100" w:beforeAutospacing="1" w:after="100" w:afterAutospacing="1"/>
        <w:rPr>
          <w:rFonts w:eastAsia="Times New Roman"/>
        </w:rPr>
      </w:pPr>
      <w:r>
        <w:rPr>
          <w:rFonts w:eastAsia="Times New Roman"/>
        </w:rPr>
        <w:t>Настоящая Концепция реализовывается в три этапа:</w:t>
      </w:r>
    </w:p>
    <w:p w:rsidR="00000000" w:rsidRDefault="00FE3B23">
      <w:pPr>
        <w:pStyle w:val="a3"/>
      </w:pPr>
      <w:r>
        <w:t>- первый этап охватывает 2017-2020 годы, в течение этого периода тарифы должны покрыть затраты на услуги по поставке электроэнергии регулируемых предприятий;</w:t>
      </w:r>
    </w:p>
    <w:p w:rsidR="00000000" w:rsidRDefault="00FE3B23">
      <w:pPr>
        <w:pStyle w:val="a3"/>
      </w:pPr>
      <w:r>
        <w:t>- второй этап охваты</w:t>
      </w:r>
      <w:r>
        <w:t>вает 2021-2024 годы, в течение этого периода реализуются меры по достижению финансового самообеспечения регулируемых предприятий, при относительной неизменности тарифов;</w:t>
      </w:r>
    </w:p>
    <w:p w:rsidR="00000000" w:rsidRDefault="00FE3B23">
      <w:pPr>
        <w:pStyle w:val="a3"/>
      </w:pPr>
      <w:r>
        <w:t>- третий этап охватывает период с 2024 - 2028 годы. В течении этого периода реилизовыв</w:t>
      </w:r>
      <w:r>
        <w:t>аются меры по дальнейшему развитию отрасли и рассматривается возможность снижения тарифов на внутреннем рынке.</w:t>
      </w:r>
    </w:p>
    <w:p w:rsidR="00000000" w:rsidRDefault="00FE3B23">
      <w:pPr>
        <w:numPr>
          <w:ilvl w:val="0"/>
          <w:numId w:val="17"/>
        </w:numPr>
        <w:spacing w:before="100" w:beforeAutospacing="1" w:after="100" w:afterAutospacing="1"/>
        <w:rPr>
          <w:rFonts w:eastAsia="Times New Roman"/>
        </w:rPr>
      </w:pPr>
      <w:r>
        <w:rPr>
          <w:rFonts w:eastAsia="Times New Roman"/>
        </w:rPr>
        <w:t>Предполагается, что план мероприятий первого этапа будет утверждена вместе с настоящей Концепцией, и с учетом результатов её реализации регулирую</w:t>
      </w:r>
      <w:r>
        <w:rPr>
          <w:rFonts w:eastAsia="Times New Roman"/>
        </w:rPr>
        <w:t>щим органом будут разработаны и в установленном порядке утверждены соответственно планы мероприятий второго и третьего этапов.</w:t>
      </w:r>
    </w:p>
    <w:p w:rsidR="00000000" w:rsidRDefault="00FE3B23">
      <w:pPr>
        <w:numPr>
          <w:ilvl w:val="0"/>
          <w:numId w:val="17"/>
        </w:numPr>
        <w:spacing w:before="100" w:beforeAutospacing="1" w:after="100" w:afterAutospacing="1"/>
        <w:rPr>
          <w:rFonts w:eastAsia="Times New Roman"/>
        </w:rPr>
      </w:pPr>
      <w:r>
        <w:rPr>
          <w:rFonts w:eastAsia="Times New Roman"/>
        </w:rPr>
        <w:t>Регулирование разницы между расходами и доходами предприятий по производству, передаче и распределению электроэнергии на первом э</w:t>
      </w:r>
      <w:r>
        <w:rPr>
          <w:rFonts w:eastAsia="Times New Roman"/>
        </w:rPr>
        <w:t>тапе реализации Концепции (2017-2020 годы) будет осуществлено в соответствии с новой Методологией расчета тарифов в рамках Плана мероприятий первого этапа реализации Концепции.</w:t>
      </w:r>
    </w:p>
    <w:p w:rsidR="00000000" w:rsidRDefault="00FE3B23">
      <w:pPr>
        <w:pStyle w:val="a3"/>
      </w:pPr>
      <w:r>
        <w:t> </w:t>
      </w:r>
    </w:p>
    <w:p w:rsidR="00000000" w:rsidRDefault="00FE3B23">
      <w:pPr>
        <w:pStyle w:val="4"/>
        <w:rPr>
          <w:rFonts w:eastAsia="Times New Roman"/>
        </w:rPr>
      </w:pPr>
      <w:r>
        <w:rPr>
          <w:rFonts w:eastAsia="Times New Roman"/>
        </w:rPr>
        <w:t>10. Мониторинги оценка Концепции</w:t>
      </w:r>
    </w:p>
    <w:p w:rsidR="00000000" w:rsidRDefault="00FE3B23">
      <w:pPr>
        <w:pStyle w:val="a3"/>
      </w:pPr>
      <w:r>
        <w:t> </w:t>
      </w:r>
    </w:p>
    <w:p w:rsidR="00000000" w:rsidRDefault="00FE3B23">
      <w:pPr>
        <w:numPr>
          <w:ilvl w:val="0"/>
          <w:numId w:val="18"/>
        </w:numPr>
        <w:spacing w:before="100" w:beforeAutospacing="1" w:after="100" w:afterAutospacing="1"/>
        <w:rPr>
          <w:rFonts w:eastAsia="Times New Roman"/>
        </w:rPr>
      </w:pPr>
      <w:r>
        <w:rPr>
          <w:rFonts w:eastAsia="Times New Roman"/>
        </w:rPr>
        <w:t>Ежегодно по итогам года со стороны регулир</w:t>
      </w:r>
      <w:r>
        <w:rPr>
          <w:rFonts w:eastAsia="Times New Roman"/>
        </w:rPr>
        <w:t>ующего органа в установленном порядке с привлечением соответствующих министерств и ведомств и международных организации будет произведен мониторинги оценка Концепции.</w:t>
      </w:r>
    </w:p>
    <w:p w:rsidR="00000000" w:rsidRDefault="00FE3B23">
      <w:pPr>
        <w:numPr>
          <w:ilvl w:val="0"/>
          <w:numId w:val="18"/>
        </w:numPr>
        <w:spacing w:before="100" w:beforeAutospacing="1" w:after="100" w:afterAutospacing="1"/>
        <w:rPr>
          <w:rFonts w:eastAsia="Times New Roman"/>
        </w:rPr>
      </w:pPr>
      <w:r>
        <w:rPr>
          <w:rFonts w:eastAsia="Times New Roman"/>
        </w:rPr>
        <w:t xml:space="preserve">Соответствующий отчет по результатам мониторинга и оценки Концепции будет представлен на </w:t>
      </w:r>
      <w:r>
        <w:rPr>
          <w:rFonts w:eastAsia="Times New Roman"/>
        </w:rPr>
        <w:t>рассмотрение в Правительство Республики Таджикистан.</w:t>
      </w:r>
    </w:p>
    <w:p w:rsidR="00000000" w:rsidRDefault="00FE3B23">
      <w:pPr>
        <w:pStyle w:val="a3"/>
      </w:pPr>
      <w:r>
        <w:t> </w:t>
      </w:r>
    </w:p>
    <w:p w:rsidR="00000000" w:rsidRDefault="00FE3B23">
      <w:pPr>
        <w:pStyle w:val="4"/>
        <w:rPr>
          <w:rFonts w:eastAsia="Times New Roman"/>
        </w:rPr>
      </w:pPr>
      <w:r>
        <w:rPr>
          <w:rFonts w:eastAsia="Times New Roman"/>
        </w:rPr>
        <w:t>11. Ожидаемые результаты реализации настоящей Концепции</w:t>
      </w:r>
    </w:p>
    <w:p w:rsidR="00000000" w:rsidRDefault="00FE3B23">
      <w:pPr>
        <w:pStyle w:val="a3"/>
      </w:pPr>
      <w:r>
        <w:t> </w:t>
      </w:r>
    </w:p>
    <w:p w:rsidR="00000000" w:rsidRDefault="00FE3B23">
      <w:pPr>
        <w:numPr>
          <w:ilvl w:val="0"/>
          <w:numId w:val="19"/>
        </w:numPr>
        <w:spacing w:before="100" w:beforeAutospacing="1" w:after="100" w:afterAutospacing="1"/>
        <w:rPr>
          <w:rFonts w:eastAsia="Times New Roman"/>
        </w:rPr>
      </w:pPr>
      <w:r>
        <w:rPr>
          <w:rFonts w:eastAsia="Times New Roman"/>
        </w:rPr>
        <w:t>Реализация настоящей Концепции позволит достигнуть следующие результаты:</w:t>
      </w:r>
    </w:p>
    <w:p w:rsidR="00000000" w:rsidRDefault="00FE3B23">
      <w:pPr>
        <w:pStyle w:val="a3"/>
      </w:pPr>
      <w:r>
        <w:t xml:space="preserve">- улучшение финансовой деятельности предприятий электроэнергетической </w:t>
      </w:r>
      <w:r>
        <w:t>отрасли (создание основ для развития отрасли);</w:t>
      </w:r>
    </w:p>
    <w:p w:rsidR="00000000" w:rsidRDefault="00FE3B23">
      <w:pPr>
        <w:pStyle w:val="a3"/>
      </w:pPr>
      <w:r>
        <w:t>- относительное повышение средних тарифов на электроэнергию, в том числе для населения на первом этапе реализации новой тарифной политики (привлечение дополнительных инвестиций в отрасль и создание условий для</w:t>
      </w:r>
      <w:r>
        <w:t xml:space="preserve"> обеспечения доходности предприятий отрасли);</w:t>
      </w:r>
    </w:p>
    <w:p w:rsidR="00000000" w:rsidRDefault="00FE3B23">
      <w:pPr>
        <w:pStyle w:val="a3"/>
      </w:pPr>
      <w:r>
        <w:t>- понижение тарифов для большей части потребителей электроэнергии, обслуживаемых через линии высокого напряжения (создание условий для развития производственных отраслей промышленности страны);</w:t>
      </w:r>
    </w:p>
    <w:p w:rsidR="00000000" w:rsidRDefault="00FE3B23">
      <w:pPr>
        <w:pStyle w:val="a3"/>
      </w:pPr>
      <w:r>
        <w:t>- поддержка со стороны Правительства Республики Таджикистан, малообеспеченных и уязвимых слоев населения путем компенсации высокого тарифа на электроэнергию (эта часть населения в период реализации Концепции получит выгоду от повышения надежности электросн</w:t>
      </w:r>
      <w:r>
        <w:t>абжения);</w:t>
      </w:r>
    </w:p>
    <w:p w:rsidR="00000000" w:rsidRDefault="00FE3B23">
      <w:pPr>
        <w:pStyle w:val="a3"/>
      </w:pPr>
      <w:r>
        <w:t>- упорядочение и прозрачность в регулировании деятельности предприятий и организаций электроэнергетической отрасли (организация деятельности предприятий по электрообеспечению в соответствии с современными требованиями).</w:t>
      </w:r>
    </w:p>
    <w:p w:rsidR="00000000" w:rsidRDefault="00FE3B23">
      <w:pPr>
        <w:pStyle w:val="a3"/>
      </w:pPr>
      <w:r>
        <w:t> </w:t>
      </w:r>
    </w:p>
    <w:p w:rsidR="00000000" w:rsidRDefault="00FE3B23">
      <w:pPr>
        <w:pStyle w:val="a3"/>
      </w:pPr>
      <w:r>
        <w:t>* Приложение</w:t>
      </w:r>
    </w:p>
    <w:p w:rsidR="00000000" w:rsidRDefault="00FE3B23">
      <w:pPr>
        <w:pStyle w:val="a3"/>
      </w:pPr>
      <w:r>
        <w:t> </w:t>
      </w:r>
    </w:p>
    <w:p w:rsidR="00000000" w:rsidRDefault="00FE3B23">
      <w:pPr>
        <w:pStyle w:val="a3"/>
      </w:pPr>
      <w:r>
        <w:rPr>
          <w:rStyle w:val="a6"/>
        </w:rPr>
        <w:t>Приложени</w:t>
      </w:r>
      <w:r>
        <w:rPr>
          <w:rStyle w:val="a6"/>
        </w:rPr>
        <w:t>е 1</w:t>
      </w:r>
    </w:p>
    <w:p w:rsidR="00000000" w:rsidRDefault="00FE3B23">
      <w:pPr>
        <w:pStyle w:val="a3"/>
      </w:pPr>
      <w:r>
        <w:rPr>
          <w:rStyle w:val="a6"/>
        </w:rPr>
        <w:t>                                                       постановлению Правительства</w:t>
      </w:r>
    </w:p>
    <w:p w:rsidR="00000000" w:rsidRDefault="00FE3B23">
      <w:pPr>
        <w:pStyle w:val="a3"/>
      </w:pPr>
      <w:r>
        <w:rPr>
          <w:rStyle w:val="a6"/>
        </w:rPr>
        <w:t xml:space="preserve">Республики Таджикистан </w:t>
      </w:r>
    </w:p>
    <w:p w:rsidR="00000000" w:rsidRDefault="00FE3B23">
      <w:pPr>
        <w:pStyle w:val="a3"/>
      </w:pPr>
      <w:r>
        <w:rPr>
          <w:rStyle w:val="a6"/>
        </w:rPr>
        <w:t>от 27  мая      2017 года,  №259</w:t>
      </w:r>
    </w:p>
    <w:p w:rsidR="00000000" w:rsidRDefault="00FE3B23">
      <w:pPr>
        <w:pStyle w:val="a3"/>
      </w:pPr>
      <w:r>
        <w:t> </w:t>
      </w:r>
    </w:p>
    <w:p w:rsidR="00000000" w:rsidRDefault="00FE3B23">
      <w:pPr>
        <w:pStyle w:val="a3"/>
      </w:pPr>
      <w:r>
        <w:rPr>
          <w:rStyle w:val="a6"/>
        </w:rPr>
        <w:t>План мероприятий по реализации первого этапа</w:t>
      </w:r>
    </w:p>
    <w:p w:rsidR="00000000" w:rsidRDefault="00FE3B23">
      <w:pPr>
        <w:pStyle w:val="a3"/>
      </w:pPr>
      <w:r>
        <w:rPr>
          <w:rStyle w:val="a6"/>
        </w:rPr>
        <w:t>Концепции тарифного регулирования в электроэнергетической</w:t>
      </w:r>
    </w:p>
    <w:p w:rsidR="00000000" w:rsidRDefault="00FE3B23">
      <w:pPr>
        <w:pStyle w:val="a3"/>
      </w:pPr>
      <w:r>
        <w:rPr>
          <w:rStyle w:val="a6"/>
        </w:rPr>
        <w:t>отрасли</w:t>
      </w:r>
      <w:r>
        <w:rPr>
          <w:rStyle w:val="a6"/>
        </w:rPr>
        <w:t xml:space="preserve"> Республики Таджикистан</w:t>
      </w:r>
    </w:p>
    <w:tbl>
      <w:tblPr>
        <w:tblW w:w="10170" w:type="dxa"/>
        <w:tblCellSpacing w:w="15" w:type="dxa"/>
        <w:tblCellMar>
          <w:top w:w="15" w:type="dxa"/>
          <w:left w:w="15" w:type="dxa"/>
          <w:bottom w:w="15" w:type="dxa"/>
          <w:right w:w="15" w:type="dxa"/>
        </w:tblCellMar>
        <w:tblLook w:val="04A0"/>
      </w:tblPr>
      <w:tblGrid>
        <w:gridCol w:w="704"/>
        <w:gridCol w:w="3522"/>
        <w:gridCol w:w="3794"/>
        <w:gridCol w:w="2150"/>
      </w:tblGrid>
      <w:tr w:rsidR="00000000">
        <w:trPr>
          <w:tblCellSpacing w:w="15" w:type="dxa"/>
        </w:trPr>
        <w:tc>
          <w:tcPr>
            <w:tcW w:w="675" w:type="dxa"/>
            <w:vAlign w:val="center"/>
            <w:hideMark/>
          </w:tcPr>
          <w:p w:rsidR="00000000" w:rsidRDefault="00FE3B23">
            <w:pPr>
              <w:pStyle w:val="a3"/>
            </w:pPr>
            <w:r>
              <w:t>№ п/н</w:t>
            </w:r>
          </w:p>
        </w:tc>
        <w:tc>
          <w:tcPr>
            <w:tcW w:w="3540" w:type="dxa"/>
            <w:vAlign w:val="center"/>
            <w:hideMark/>
          </w:tcPr>
          <w:p w:rsidR="00000000" w:rsidRDefault="00FE3B23">
            <w:pPr>
              <w:pStyle w:val="a3"/>
            </w:pPr>
            <w:r>
              <w:t>Наименование мероприятий</w:t>
            </w:r>
          </w:p>
        </w:tc>
        <w:tc>
          <w:tcPr>
            <w:tcW w:w="3825" w:type="dxa"/>
            <w:vAlign w:val="center"/>
            <w:hideMark/>
          </w:tcPr>
          <w:p w:rsidR="00000000" w:rsidRDefault="00FE3B23">
            <w:pPr>
              <w:pStyle w:val="a3"/>
            </w:pPr>
            <w:r>
              <w:t>Ответственные</w:t>
            </w:r>
          </w:p>
        </w:tc>
        <w:tc>
          <w:tcPr>
            <w:tcW w:w="2130" w:type="dxa"/>
            <w:vAlign w:val="center"/>
            <w:hideMark/>
          </w:tcPr>
          <w:p w:rsidR="00000000" w:rsidRDefault="00FE3B23">
            <w:pPr>
              <w:pStyle w:val="a3"/>
            </w:pPr>
            <w:r>
              <w:t>Сроки выполнения</w:t>
            </w:r>
          </w:p>
        </w:tc>
      </w:tr>
      <w:tr w:rsidR="00000000">
        <w:trPr>
          <w:tblCellSpacing w:w="15" w:type="dxa"/>
        </w:trPr>
        <w:tc>
          <w:tcPr>
            <w:tcW w:w="675" w:type="dxa"/>
            <w:vAlign w:val="center"/>
            <w:hideMark/>
          </w:tcPr>
          <w:p w:rsidR="00000000" w:rsidRDefault="00FE3B23">
            <w:pPr>
              <w:pStyle w:val="a3"/>
            </w:pPr>
            <w:r>
              <w:t>1.</w:t>
            </w:r>
          </w:p>
        </w:tc>
        <w:tc>
          <w:tcPr>
            <w:tcW w:w="3540" w:type="dxa"/>
            <w:vAlign w:val="center"/>
            <w:hideMark/>
          </w:tcPr>
          <w:p w:rsidR="00000000" w:rsidRDefault="00FE3B23">
            <w:pPr>
              <w:pStyle w:val="a3"/>
            </w:pPr>
            <w:r>
              <w:t xml:space="preserve">Организация                  и проведение консультаций с     общественностью     о необходимости принятия Концепции      </w:t>
            </w:r>
            <w:r>
              <w:t>тарифного регулирования в отрасли электроэнергетики,          с учетом           обеспечения социальной           защиты уязвимых                   слоев населения от повышения тарифов</w:t>
            </w:r>
          </w:p>
        </w:tc>
        <w:tc>
          <w:tcPr>
            <w:tcW w:w="3825" w:type="dxa"/>
            <w:vAlign w:val="center"/>
            <w:hideMark/>
          </w:tcPr>
          <w:p w:rsidR="00000000" w:rsidRDefault="00FE3B23">
            <w:pPr>
              <w:pStyle w:val="a3"/>
            </w:pPr>
            <w:r>
              <w:t>Министерства   энергетики и        водных       ресурсов, экономическо</w:t>
            </w:r>
            <w:r>
              <w:t>го   развития и     торговли,     финансов, здравоохранения              и социальной            защиты населения, Антимонопольная служба совместно            местными исполнительными органами государственной власти</w:t>
            </w:r>
          </w:p>
        </w:tc>
        <w:tc>
          <w:tcPr>
            <w:tcW w:w="2130" w:type="dxa"/>
            <w:vAlign w:val="center"/>
            <w:hideMark/>
          </w:tcPr>
          <w:p w:rsidR="00000000" w:rsidRDefault="00FE3B23">
            <w:pPr>
              <w:pStyle w:val="a3"/>
            </w:pPr>
            <w:r>
              <w:t>3 квартал 2017 годов</w:t>
            </w:r>
          </w:p>
        </w:tc>
      </w:tr>
      <w:tr w:rsidR="00000000">
        <w:trPr>
          <w:tblCellSpacing w:w="15" w:type="dxa"/>
        </w:trPr>
        <w:tc>
          <w:tcPr>
            <w:tcW w:w="675" w:type="dxa"/>
            <w:vAlign w:val="center"/>
            <w:hideMark/>
          </w:tcPr>
          <w:p w:rsidR="00000000" w:rsidRDefault="00FE3B23">
            <w:pPr>
              <w:pStyle w:val="a3"/>
            </w:pPr>
            <w:r>
              <w:t>2.</w:t>
            </w:r>
          </w:p>
        </w:tc>
        <w:tc>
          <w:tcPr>
            <w:tcW w:w="3540" w:type="dxa"/>
            <w:vAlign w:val="center"/>
            <w:hideMark/>
          </w:tcPr>
          <w:p w:rsidR="00000000" w:rsidRDefault="00FE3B23">
            <w:pPr>
              <w:pStyle w:val="a3"/>
            </w:pPr>
            <w:r>
              <w:t>Изучение и преставление предложений                 по улучшению действующего законодательства Республики Таджикистан об                 образовании независимого  органа  по регулирования     отрасли электроэнергетики</w:t>
            </w:r>
          </w:p>
        </w:tc>
        <w:tc>
          <w:tcPr>
            <w:tcW w:w="3825" w:type="dxa"/>
            <w:vAlign w:val="center"/>
            <w:hideMark/>
          </w:tcPr>
          <w:p w:rsidR="00000000" w:rsidRDefault="00FE3B23">
            <w:pPr>
              <w:pStyle w:val="a3"/>
            </w:pPr>
            <w:r>
              <w:t>Независимый    орган    по регулирова</w:t>
            </w:r>
            <w:r>
              <w:t>нию     отрасли, Антимонопольная служба, министерства энергетики и водных ресурсов, юстиции, финансов, Государственный  комитет по         инвестициям         и управлению государственным имуществом, партнеры по развитию</w:t>
            </w:r>
          </w:p>
        </w:tc>
        <w:tc>
          <w:tcPr>
            <w:tcW w:w="2130" w:type="dxa"/>
            <w:vAlign w:val="center"/>
            <w:hideMark/>
          </w:tcPr>
          <w:p w:rsidR="00000000" w:rsidRDefault="00FE3B23">
            <w:pPr>
              <w:pStyle w:val="a3"/>
            </w:pPr>
            <w:r>
              <w:t>4 квартал 2017 года</w:t>
            </w:r>
          </w:p>
        </w:tc>
      </w:tr>
      <w:tr w:rsidR="00000000">
        <w:trPr>
          <w:tblCellSpacing w:w="15" w:type="dxa"/>
        </w:trPr>
        <w:tc>
          <w:tcPr>
            <w:tcW w:w="675" w:type="dxa"/>
            <w:vAlign w:val="center"/>
            <w:hideMark/>
          </w:tcPr>
          <w:p w:rsidR="00000000" w:rsidRDefault="00FE3B23">
            <w:pPr>
              <w:pStyle w:val="a3"/>
            </w:pPr>
            <w:r>
              <w:t>3.</w:t>
            </w:r>
          </w:p>
        </w:tc>
        <w:tc>
          <w:tcPr>
            <w:tcW w:w="3540" w:type="dxa"/>
            <w:vAlign w:val="center"/>
            <w:hideMark/>
          </w:tcPr>
          <w:p w:rsidR="00000000" w:rsidRDefault="00FE3B23">
            <w:pPr>
              <w:pStyle w:val="a3"/>
            </w:pPr>
            <w:r>
              <w:t>Обра</w:t>
            </w:r>
            <w:r>
              <w:t>зование                  и последующая организация деятельности независимого   органа  по регулированию    отрасли электроэнергетики</w:t>
            </w:r>
          </w:p>
        </w:tc>
        <w:tc>
          <w:tcPr>
            <w:tcW w:w="3825" w:type="dxa"/>
            <w:vAlign w:val="center"/>
            <w:hideMark/>
          </w:tcPr>
          <w:p w:rsidR="00000000" w:rsidRDefault="00FE3B23">
            <w:pPr>
              <w:pStyle w:val="a3"/>
            </w:pPr>
            <w:r>
              <w:t xml:space="preserve">Министерства  энергетики и        водных       ресурсов, экономического   развития и     торговли,     юстиции, финансов, </w:t>
            </w:r>
            <w:r>
              <w:t>Государственный  комитет по         инвестициям         и управлению государственным имуществом; Антимонопольная служба, партнеры по развитию</w:t>
            </w:r>
          </w:p>
        </w:tc>
        <w:tc>
          <w:tcPr>
            <w:tcW w:w="2130" w:type="dxa"/>
            <w:vAlign w:val="center"/>
            <w:hideMark/>
          </w:tcPr>
          <w:p w:rsidR="00000000" w:rsidRDefault="00FE3B23">
            <w:pPr>
              <w:pStyle w:val="a3"/>
            </w:pPr>
            <w:r>
              <w:t>4 квартал 2017 года</w:t>
            </w:r>
          </w:p>
        </w:tc>
      </w:tr>
      <w:tr w:rsidR="00000000">
        <w:trPr>
          <w:tblCellSpacing w:w="15" w:type="dxa"/>
        </w:trPr>
        <w:tc>
          <w:tcPr>
            <w:tcW w:w="675" w:type="dxa"/>
            <w:vAlign w:val="center"/>
            <w:hideMark/>
          </w:tcPr>
          <w:p w:rsidR="00000000" w:rsidRDefault="00FE3B23">
            <w:pPr>
              <w:pStyle w:val="a3"/>
            </w:pPr>
            <w:r>
              <w:t>4.</w:t>
            </w:r>
          </w:p>
        </w:tc>
        <w:tc>
          <w:tcPr>
            <w:tcW w:w="3540" w:type="dxa"/>
            <w:vAlign w:val="center"/>
            <w:hideMark/>
          </w:tcPr>
          <w:p w:rsidR="00000000" w:rsidRDefault="00FE3B23">
            <w:pPr>
              <w:pStyle w:val="a3"/>
            </w:pPr>
            <w:r>
              <w:t>Разработка             новой Методологии       расчета тарифов                     </w:t>
            </w:r>
            <w:r>
              <w:t>   на электроэнергию            на основе            Концепции тарифного регулирования, с учетом поэтапного  перехода на новые тарифы</w:t>
            </w:r>
          </w:p>
        </w:tc>
        <w:tc>
          <w:tcPr>
            <w:tcW w:w="3825" w:type="dxa"/>
            <w:vAlign w:val="center"/>
            <w:hideMark/>
          </w:tcPr>
          <w:p w:rsidR="00000000" w:rsidRDefault="00FE3B23">
            <w:pPr>
              <w:pStyle w:val="a3"/>
            </w:pPr>
            <w:r>
              <w:t>Независимый    орган    по регулированию     отрасли, Антимонопольная служба, Открытая       акционерная холдинговая     </w:t>
            </w:r>
            <w:r>
              <w:t>   компания «Барки                   Точик», министерства энергетики и водных                 ресурсов, экономического   развития и     торговли,     юстиции, финансов, международная консалтинговая компания</w:t>
            </w:r>
          </w:p>
        </w:tc>
        <w:tc>
          <w:tcPr>
            <w:tcW w:w="2130" w:type="dxa"/>
            <w:vAlign w:val="center"/>
            <w:hideMark/>
          </w:tcPr>
          <w:p w:rsidR="00000000" w:rsidRDefault="00FE3B23">
            <w:pPr>
              <w:pStyle w:val="a3"/>
            </w:pPr>
            <w:r>
              <w:t>4 квартал 2017 года</w:t>
            </w:r>
          </w:p>
        </w:tc>
      </w:tr>
      <w:tr w:rsidR="00000000">
        <w:trPr>
          <w:tblCellSpacing w:w="15" w:type="dxa"/>
        </w:trPr>
        <w:tc>
          <w:tcPr>
            <w:tcW w:w="675" w:type="dxa"/>
            <w:vAlign w:val="center"/>
            <w:hideMark/>
          </w:tcPr>
          <w:p w:rsidR="00000000" w:rsidRDefault="00FE3B23">
            <w:pPr>
              <w:pStyle w:val="a3"/>
            </w:pPr>
            <w:r>
              <w:t>5.</w:t>
            </w:r>
          </w:p>
        </w:tc>
        <w:tc>
          <w:tcPr>
            <w:tcW w:w="3540" w:type="dxa"/>
            <w:vAlign w:val="center"/>
            <w:hideMark/>
          </w:tcPr>
          <w:p w:rsidR="00000000" w:rsidRDefault="00FE3B23">
            <w:pPr>
              <w:pStyle w:val="a3"/>
            </w:pPr>
            <w:r>
              <w:t>Поэтапное регулиро</w:t>
            </w:r>
            <w:r>
              <w:t>вание    тарифов на     электроэнергию     с учетом         постепенного достижения           уровня покрытия            разницы между      расходами      и доходами     предприятий по выработке, передаче и распределению электроэнергии</w:t>
            </w:r>
          </w:p>
        </w:tc>
        <w:tc>
          <w:tcPr>
            <w:tcW w:w="3825" w:type="dxa"/>
            <w:vAlign w:val="center"/>
            <w:hideMark/>
          </w:tcPr>
          <w:p w:rsidR="00000000" w:rsidRDefault="00FE3B23">
            <w:pPr>
              <w:pStyle w:val="a3"/>
            </w:pPr>
            <w:r>
              <w:t>Независимый регулир</w:t>
            </w:r>
            <w:r>
              <w:t>уемый     орган     в отрасли, Антимонопольная служба, Открытая       акционерная холдинговая       компания «Барки        Точик»        (её правопреемники)              с участием         министерств энергетики      и      водных ресурсов,   экономическог</w:t>
            </w:r>
            <w:r>
              <w:t>о развития      и     торговли, финансов,     юстиции     и международная консалтинговая компания</w:t>
            </w:r>
          </w:p>
        </w:tc>
        <w:tc>
          <w:tcPr>
            <w:tcW w:w="2130" w:type="dxa"/>
            <w:vAlign w:val="center"/>
            <w:hideMark/>
          </w:tcPr>
          <w:p w:rsidR="00000000" w:rsidRDefault="00FE3B23">
            <w:pPr>
              <w:pStyle w:val="a3"/>
            </w:pPr>
            <w:r>
              <w:t>2017-2020 годы</w:t>
            </w:r>
          </w:p>
        </w:tc>
      </w:tr>
      <w:tr w:rsidR="00000000">
        <w:trPr>
          <w:tblCellSpacing w:w="15" w:type="dxa"/>
        </w:trPr>
        <w:tc>
          <w:tcPr>
            <w:tcW w:w="675" w:type="dxa"/>
            <w:vAlign w:val="center"/>
            <w:hideMark/>
          </w:tcPr>
          <w:p w:rsidR="00000000" w:rsidRDefault="00FE3B23">
            <w:pPr>
              <w:pStyle w:val="a3"/>
            </w:pPr>
            <w:r>
              <w:t>6.</w:t>
            </w:r>
          </w:p>
        </w:tc>
        <w:tc>
          <w:tcPr>
            <w:tcW w:w="3540" w:type="dxa"/>
            <w:vAlign w:val="center"/>
            <w:hideMark/>
          </w:tcPr>
          <w:p w:rsidR="00000000" w:rsidRDefault="00FE3B23">
            <w:pPr>
              <w:pStyle w:val="a3"/>
            </w:pPr>
            <w:r>
              <w:t xml:space="preserve">Принятие    необходимых мер     по     привлечению кредитных   и   грантовых средств         с         </w:t>
            </w:r>
            <w:r>
              <w:t>целью покрытия разницы между расходами и доходами до достижения            уровня доходов,     позволяющих покрыть эти расходы</w:t>
            </w:r>
          </w:p>
        </w:tc>
        <w:tc>
          <w:tcPr>
            <w:tcW w:w="3825" w:type="dxa"/>
            <w:vAlign w:val="center"/>
            <w:hideMark/>
          </w:tcPr>
          <w:p w:rsidR="00000000" w:rsidRDefault="00FE3B23">
            <w:pPr>
              <w:pStyle w:val="a3"/>
            </w:pPr>
            <w:r>
              <w:t>Открытая       акционерная холдинговая        компания «Барки                   Точик», министерства энергетики и водных        </w:t>
            </w:r>
            <w:r>
              <w:t>        ресурсов, финансов, Антимонопольная служба, Государственный комитет по         инвестициям         и управлению государственным имуществом, партнеры по развитию</w:t>
            </w:r>
          </w:p>
        </w:tc>
        <w:tc>
          <w:tcPr>
            <w:tcW w:w="2130" w:type="dxa"/>
            <w:vAlign w:val="center"/>
            <w:hideMark/>
          </w:tcPr>
          <w:p w:rsidR="00000000" w:rsidRDefault="00FE3B23">
            <w:pPr>
              <w:pStyle w:val="a3"/>
            </w:pPr>
            <w:r>
              <w:t>Годы: 2017-75%; 2018-50%; 2019-25%.</w:t>
            </w:r>
          </w:p>
        </w:tc>
      </w:tr>
      <w:tr w:rsidR="00000000">
        <w:trPr>
          <w:tblCellSpacing w:w="15" w:type="dxa"/>
        </w:trPr>
        <w:tc>
          <w:tcPr>
            <w:tcW w:w="675" w:type="dxa"/>
            <w:vAlign w:val="center"/>
            <w:hideMark/>
          </w:tcPr>
          <w:p w:rsidR="00000000" w:rsidRDefault="00FE3B23">
            <w:pPr>
              <w:pStyle w:val="a3"/>
            </w:pPr>
            <w:r>
              <w:t>7.</w:t>
            </w:r>
          </w:p>
        </w:tc>
        <w:tc>
          <w:tcPr>
            <w:tcW w:w="3540" w:type="dxa"/>
            <w:vAlign w:val="center"/>
            <w:hideMark/>
          </w:tcPr>
          <w:p w:rsidR="00000000" w:rsidRDefault="00FE3B23">
            <w:pPr>
              <w:pStyle w:val="a3"/>
            </w:pPr>
            <w:r>
              <w:t>Оценка  последствий для потребителей   с</w:t>
            </w:r>
            <w:r>
              <w:t>   низким уровнем               доходов увеличения   тарифов   на электроэнергию     и     по необходимости соответственно увеличение           объемов средств, направляемых на оказание        социальной помощи малообеспеченным семьям и гражданам</w:t>
            </w:r>
          </w:p>
        </w:tc>
        <w:tc>
          <w:tcPr>
            <w:tcW w:w="3825" w:type="dxa"/>
            <w:vAlign w:val="center"/>
            <w:hideMark/>
          </w:tcPr>
          <w:p w:rsidR="00000000" w:rsidRDefault="00FE3B23">
            <w:pPr>
              <w:pStyle w:val="a3"/>
            </w:pPr>
            <w:r>
              <w:t>Министер</w:t>
            </w:r>
            <w:r>
              <w:t>ства здравоохранения и защита занятости     населения     и финансов, Антимонопольная служба</w:t>
            </w:r>
          </w:p>
        </w:tc>
        <w:tc>
          <w:tcPr>
            <w:tcW w:w="2130" w:type="dxa"/>
            <w:vAlign w:val="center"/>
            <w:hideMark/>
          </w:tcPr>
          <w:p w:rsidR="00000000" w:rsidRDefault="00FE3B23">
            <w:pPr>
              <w:pStyle w:val="a3"/>
            </w:pPr>
            <w:r>
              <w:t>2017 год и далее постоянно</w:t>
            </w:r>
          </w:p>
        </w:tc>
      </w:tr>
      <w:tr w:rsidR="00000000">
        <w:trPr>
          <w:tblCellSpacing w:w="15" w:type="dxa"/>
        </w:trPr>
        <w:tc>
          <w:tcPr>
            <w:tcW w:w="675" w:type="dxa"/>
            <w:vAlign w:val="center"/>
            <w:hideMark/>
          </w:tcPr>
          <w:p w:rsidR="00000000" w:rsidRDefault="00FE3B23">
            <w:pPr>
              <w:pStyle w:val="a3"/>
            </w:pPr>
            <w:r>
              <w:t>8.</w:t>
            </w:r>
          </w:p>
        </w:tc>
        <w:tc>
          <w:tcPr>
            <w:tcW w:w="3540" w:type="dxa"/>
            <w:vAlign w:val="center"/>
            <w:hideMark/>
          </w:tcPr>
          <w:p w:rsidR="00000000" w:rsidRDefault="00FE3B23">
            <w:pPr>
              <w:pStyle w:val="a3"/>
            </w:pPr>
            <w:r>
              <w:t xml:space="preserve">Разработка Методологии расчетов амортизационных отчислений                  </w:t>
            </w:r>
            <w:r>
              <w:t>для предприятий энергетической отрасли в соответствии                   с Концепцией    тарифного регулирования,   а   также разработка      норматива использования электроэнергии             на собственные           нужды предприятий отрасли</w:t>
            </w:r>
          </w:p>
        </w:tc>
        <w:tc>
          <w:tcPr>
            <w:tcW w:w="3825" w:type="dxa"/>
            <w:vAlign w:val="center"/>
            <w:hideMark/>
          </w:tcPr>
          <w:p w:rsidR="00000000" w:rsidRDefault="00FE3B23">
            <w:pPr>
              <w:pStyle w:val="a3"/>
            </w:pPr>
            <w:r>
              <w:t>Независимый </w:t>
            </w:r>
            <w:r>
              <w:t>   орган    по регулированию     отрасли, Открытая       акционерная холдинговая        компания «Барки Точик» с участием министерств энергетики и водных                 ресурсов, экономического   развития и     торговли,     финансов, юстиции, Антимонопол</w:t>
            </w:r>
            <w:r>
              <w:t>ьной службы н             Государственного комитета по инвестициям и                      управлению государственным имуществом</w:t>
            </w:r>
          </w:p>
        </w:tc>
        <w:tc>
          <w:tcPr>
            <w:tcW w:w="2130" w:type="dxa"/>
            <w:vAlign w:val="center"/>
            <w:hideMark/>
          </w:tcPr>
          <w:p w:rsidR="00000000" w:rsidRDefault="00FE3B23">
            <w:pPr>
              <w:pStyle w:val="a3"/>
            </w:pPr>
            <w:r>
              <w:t>4 квартал 2017 года</w:t>
            </w:r>
          </w:p>
        </w:tc>
      </w:tr>
      <w:tr w:rsidR="00000000">
        <w:trPr>
          <w:tblCellSpacing w:w="15" w:type="dxa"/>
        </w:trPr>
        <w:tc>
          <w:tcPr>
            <w:tcW w:w="675" w:type="dxa"/>
            <w:vAlign w:val="center"/>
            <w:hideMark/>
          </w:tcPr>
          <w:p w:rsidR="00000000" w:rsidRDefault="00FE3B23">
            <w:pPr>
              <w:pStyle w:val="a3"/>
            </w:pPr>
            <w:r>
              <w:t>9.</w:t>
            </w:r>
          </w:p>
        </w:tc>
        <w:tc>
          <w:tcPr>
            <w:tcW w:w="3540" w:type="dxa"/>
            <w:vAlign w:val="center"/>
            <w:hideMark/>
          </w:tcPr>
          <w:p w:rsidR="00000000" w:rsidRDefault="00FE3B23">
            <w:pPr>
              <w:pStyle w:val="a3"/>
            </w:pPr>
            <w:r>
              <w:t>Разработка       мер       по стимулированию предприятий   отрасли   в снижении уровня общих поте</w:t>
            </w:r>
            <w:r>
              <w:t>рь электроэнергии и повышения            уровня собираемости    денежных средств</w:t>
            </w:r>
          </w:p>
        </w:tc>
        <w:tc>
          <w:tcPr>
            <w:tcW w:w="3825" w:type="dxa"/>
            <w:vAlign w:val="center"/>
            <w:hideMark/>
          </w:tcPr>
          <w:p w:rsidR="00000000" w:rsidRDefault="00FE3B23">
            <w:pPr>
              <w:pStyle w:val="a3"/>
            </w:pPr>
            <w:r>
              <w:t>Министерство   энергетики и       водных        ресурсов, Независимый    орган    по регулированию     отрасли, Антимонопольная служба, Открытая       акционерная холдинговая</w:t>
            </w:r>
            <w:r>
              <w:t>        компания «Барки                    Точик» (предприятия     отдельных направления деятельности)</w:t>
            </w:r>
          </w:p>
        </w:tc>
        <w:tc>
          <w:tcPr>
            <w:tcW w:w="2130" w:type="dxa"/>
            <w:vAlign w:val="center"/>
            <w:hideMark/>
          </w:tcPr>
          <w:p w:rsidR="00000000" w:rsidRDefault="00FE3B23">
            <w:pPr>
              <w:pStyle w:val="a3"/>
            </w:pPr>
            <w:r>
              <w:t>2017-2018 годы</w:t>
            </w:r>
          </w:p>
        </w:tc>
      </w:tr>
      <w:tr w:rsidR="00000000">
        <w:trPr>
          <w:tblCellSpacing w:w="15" w:type="dxa"/>
        </w:trPr>
        <w:tc>
          <w:tcPr>
            <w:tcW w:w="675" w:type="dxa"/>
            <w:vAlign w:val="center"/>
            <w:hideMark/>
          </w:tcPr>
          <w:p w:rsidR="00000000" w:rsidRDefault="00FE3B23">
            <w:pPr>
              <w:pStyle w:val="a3"/>
            </w:pPr>
            <w:r>
              <w:t> 8.</w:t>
            </w:r>
          </w:p>
        </w:tc>
        <w:tc>
          <w:tcPr>
            <w:tcW w:w="3540" w:type="dxa"/>
            <w:vAlign w:val="center"/>
            <w:hideMark/>
          </w:tcPr>
          <w:p w:rsidR="00000000" w:rsidRDefault="00FE3B23">
            <w:pPr>
              <w:pStyle w:val="a3"/>
            </w:pPr>
            <w:r>
              <w:t xml:space="preserve">Принятие    необходимых мер      по      обеспечению баланса интересов между потребителями                </w:t>
            </w:r>
            <w:r>
              <w:t>и предприятиями обеспечивающими электроэнергией</w:t>
            </w:r>
          </w:p>
        </w:tc>
        <w:tc>
          <w:tcPr>
            <w:tcW w:w="3825" w:type="dxa"/>
            <w:vAlign w:val="center"/>
            <w:hideMark/>
          </w:tcPr>
          <w:p w:rsidR="00000000" w:rsidRDefault="00FE3B23">
            <w:pPr>
              <w:pStyle w:val="a3"/>
            </w:pPr>
            <w:r>
              <w:t>Независимый    орган    по регулированию     отрасли, Антимонопольная служба, Министерство   энергетики и       водных       ресурсов, Открытая       акционерная холдинговая        компания «Барки           </w:t>
            </w:r>
            <w:r>
              <w:t>         Точик» (11 редп рм ятня     отдел ь н ых направлений деятельности)</w:t>
            </w:r>
          </w:p>
        </w:tc>
        <w:tc>
          <w:tcPr>
            <w:tcW w:w="2130" w:type="dxa"/>
            <w:vAlign w:val="center"/>
            <w:hideMark/>
          </w:tcPr>
          <w:p w:rsidR="00000000" w:rsidRDefault="00FE3B23">
            <w:pPr>
              <w:pStyle w:val="a3"/>
            </w:pPr>
            <w:r>
              <w:t>Постоянно</w:t>
            </w:r>
          </w:p>
        </w:tc>
      </w:tr>
      <w:tr w:rsidR="00000000">
        <w:trPr>
          <w:tblCellSpacing w:w="15" w:type="dxa"/>
        </w:trPr>
        <w:tc>
          <w:tcPr>
            <w:tcW w:w="675" w:type="dxa"/>
            <w:vAlign w:val="center"/>
            <w:hideMark/>
          </w:tcPr>
          <w:p w:rsidR="00000000" w:rsidRDefault="00FE3B23">
            <w:pPr>
              <w:pStyle w:val="a3"/>
            </w:pPr>
            <w:r>
              <w:t>11.</w:t>
            </w:r>
          </w:p>
        </w:tc>
        <w:tc>
          <w:tcPr>
            <w:tcW w:w="3540" w:type="dxa"/>
            <w:vAlign w:val="center"/>
            <w:hideMark/>
          </w:tcPr>
          <w:p w:rsidR="00000000" w:rsidRDefault="00FE3B23">
            <w:pPr>
              <w:pStyle w:val="a3"/>
            </w:pPr>
            <w:r>
              <w:t>Разработка                    и утверждение    механизма оплаты за поставленную электроэнергию крупным промышленным потребителям                  и подразделе</w:t>
            </w:r>
            <w:r>
              <w:t>ниям Агентства мелиорации  и ирригации</w:t>
            </w:r>
          </w:p>
        </w:tc>
        <w:tc>
          <w:tcPr>
            <w:tcW w:w="3825" w:type="dxa"/>
            <w:vAlign w:val="center"/>
            <w:hideMark/>
          </w:tcPr>
          <w:p w:rsidR="00000000" w:rsidRDefault="00FE3B23">
            <w:pPr>
              <w:pStyle w:val="a3"/>
            </w:pPr>
            <w:r>
              <w:t xml:space="preserve">Министерства   энергетики и       водных       ресурсов, экономического   развития и                          торговли, промышленности и новых технологий,   Независимый орган   по   </w:t>
            </w:r>
            <w:r>
              <w:t>регулированию отрасли. Антимонопольная служба. Агентство   мелиорации   и ирригации,          Открытая акционерная   холдинговая компания «Барки Точик», Государственная унитарное      предприятие «Таджикский алюминиевый завод»</w:t>
            </w:r>
          </w:p>
        </w:tc>
        <w:tc>
          <w:tcPr>
            <w:tcW w:w="2130" w:type="dxa"/>
            <w:vAlign w:val="center"/>
            <w:hideMark/>
          </w:tcPr>
          <w:p w:rsidR="00000000" w:rsidRDefault="00FE3B23">
            <w:pPr>
              <w:pStyle w:val="a3"/>
            </w:pPr>
            <w:r>
              <w:t>2017 год</w:t>
            </w:r>
          </w:p>
        </w:tc>
      </w:tr>
      <w:tr w:rsidR="00000000">
        <w:trPr>
          <w:tblCellSpacing w:w="15" w:type="dxa"/>
        </w:trPr>
        <w:tc>
          <w:tcPr>
            <w:tcW w:w="675" w:type="dxa"/>
            <w:vAlign w:val="center"/>
            <w:hideMark/>
          </w:tcPr>
          <w:p w:rsidR="00000000" w:rsidRDefault="00FE3B23">
            <w:pPr>
              <w:pStyle w:val="a3"/>
            </w:pPr>
            <w:r>
              <w:t>12.</w:t>
            </w:r>
          </w:p>
        </w:tc>
        <w:tc>
          <w:tcPr>
            <w:tcW w:w="3540" w:type="dxa"/>
            <w:vAlign w:val="center"/>
            <w:hideMark/>
          </w:tcPr>
          <w:p w:rsidR="00000000" w:rsidRDefault="00FE3B23">
            <w:pPr>
              <w:pStyle w:val="a3"/>
            </w:pPr>
            <w:r>
              <w:t>Образова</w:t>
            </w:r>
            <w:r>
              <w:t>ние                  и организация деятельности системного оператора    в   начале   в составе   предприятия   по передаче,    а   затем    как отдельная самостоятельная структура.</w:t>
            </w:r>
          </w:p>
        </w:tc>
        <w:tc>
          <w:tcPr>
            <w:tcW w:w="3825" w:type="dxa"/>
            <w:vAlign w:val="center"/>
            <w:hideMark/>
          </w:tcPr>
          <w:p w:rsidR="00000000" w:rsidRDefault="00FE3B23">
            <w:pPr>
              <w:pStyle w:val="a3"/>
            </w:pPr>
            <w:r>
              <w:t>Министерства   энергетики и       водных       ресурсов, юстиции,       Не</w:t>
            </w:r>
            <w:r>
              <w:t>зависимый регулируемый  орган       в отрасли. Антимонопольная служба. Государственный   комитет по         инвестициям         и управлению государственным имуществом.       Открытая акционерная   холдинговая компания «Барки Точпк», международная консалти</w:t>
            </w:r>
            <w:r>
              <w:t>нговая компания</w:t>
            </w:r>
          </w:p>
        </w:tc>
        <w:tc>
          <w:tcPr>
            <w:tcW w:w="2130" w:type="dxa"/>
            <w:vAlign w:val="center"/>
            <w:hideMark/>
          </w:tcPr>
          <w:p w:rsidR="00000000" w:rsidRDefault="00FE3B23">
            <w:pPr>
              <w:pStyle w:val="a3"/>
            </w:pPr>
            <w:r>
              <w:t>2017-2019 годы</w:t>
            </w:r>
          </w:p>
        </w:tc>
      </w:tr>
      <w:tr w:rsidR="00000000">
        <w:trPr>
          <w:tblCellSpacing w:w="15" w:type="dxa"/>
        </w:trPr>
        <w:tc>
          <w:tcPr>
            <w:tcW w:w="675" w:type="dxa"/>
            <w:vAlign w:val="center"/>
            <w:hideMark/>
          </w:tcPr>
          <w:p w:rsidR="00000000" w:rsidRDefault="00FE3B23">
            <w:pPr>
              <w:pStyle w:val="a3"/>
            </w:pPr>
            <w:r>
              <w:t>13.</w:t>
            </w:r>
          </w:p>
        </w:tc>
        <w:tc>
          <w:tcPr>
            <w:tcW w:w="3540" w:type="dxa"/>
            <w:vAlign w:val="center"/>
            <w:hideMark/>
          </w:tcPr>
          <w:p w:rsidR="00000000" w:rsidRDefault="00FE3B23">
            <w:pPr>
              <w:pStyle w:val="a3"/>
            </w:pPr>
            <w:r>
              <w:t>Организация  отдельного учета          затрат          и необходимых       доходов системного       оператора для             осуществления общесистемных операцией и проведение рыночных          расчётов между    </w:t>
            </w:r>
            <w:r>
              <w:t>   предприятиями отдельных                видов деятельности</w:t>
            </w:r>
          </w:p>
        </w:tc>
        <w:tc>
          <w:tcPr>
            <w:tcW w:w="3825" w:type="dxa"/>
            <w:vAlign w:val="center"/>
            <w:hideMark/>
          </w:tcPr>
          <w:p w:rsidR="00000000" w:rsidRDefault="00FE3B23">
            <w:pPr>
              <w:pStyle w:val="a3"/>
            </w:pPr>
            <w:r>
              <w:t>Министерство   энергетики и       водных       ресурсов, Независимый    орган    по регулированию     отрасли, Антимонопольная служба, Государственный  комитет по        инвестициям        и упр</w:t>
            </w:r>
            <w:r>
              <w:t>авлению государственным имуществом,  предприятия отдельных      направлений деятельности    в    отрасли электроэнергетики</w:t>
            </w:r>
          </w:p>
        </w:tc>
        <w:tc>
          <w:tcPr>
            <w:tcW w:w="2130" w:type="dxa"/>
            <w:vAlign w:val="center"/>
            <w:hideMark/>
          </w:tcPr>
          <w:p w:rsidR="00000000" w:rsidRDefault="00FE3B23">
            <w:pPr>
              <w:pStyle w:val="a3"/>
            </w:pPr>
            <w:r>
              <w:t>После образования независимо го органа по регулированию отрасли</w:t>
            </w:r>
          </w:p>
        </w:tc>
      </w:tr>
      <w:tr w:rsidR="00000000">
        <w:trPr>
          <w:tblCellSpacing w:w="15" w:type="dxa"/>
        </w:trPr>
        <w:tc>
          <w:tcPr>
            <w:tcW w:w="675" w:type="dxa"/>
            <w:vAlign w:val="center"/>
            <w:hideMark/>
          </w:tcPr>
          <w:p w:rsidR="00000000" w:rsidRDefault="00FE3B23">
            <w:pPr>
              <w:pStyle w:val="a3"/>
            </w:pPr>
            <w:r>
              <w:t>14.</w:t>
            </w:r>
          </w:p>
        </w:tc>
        <w:tc>
          <w:tcPr>
            <w:tcW w:w="3540" w:type="dxa"/>
            <w:vAlign w:val="center"/>
            <w:hideMark/>
          </w:tcPr>
          <w:p w:rsidR="00000000" w:rsidRDefault="00FE3B23">
            <w:pPr>
              <w:pStyle w:val="a3"/>
            </w:pPr>
            <w:r>
              <w:t>Разработка                     и утверждение    механизма</w:t>
            </w:r>
            <w:r>
              <w:t xml:space="preserve"> по                 уведомлению потребителей                об изменениях   тарифов,    в том         числе        путем размещения           полной информации                    и обоснованности изменений    тарифов    на электроэнергию на сайте независим</w:t>
            </w:r>
            <w:r>
              <w:t>ого  органа  по регулированию   отрасли, с учетом предложений и замечаний общественности, улучшение                ранее принятых           и           в последующем принимаемых     решений по тарифам</w:t>
            </w:r>
          </w:p>
        </w:tc>
        <w:tc>
          <w:tcPr>
            <w:tcW w:w="3825" w:type="dxa"/>
            <w:vAlign w:val="center"/>
            <w:hideMark/>
          </w:tcPr>
          <w:p w:rsidR="00000000" w:rsidRDefault="00FE3B23">
            <w:pPr>
              <w:pStyle w:val="a3"/>
            </w:pPr>
            <w:r>
              <w:t>Независимый орган по регулированию отрасли. Министерст</w:t>
            </w:r>
            <w:r>
              <w:t>во энергетики и водных ресурсов. Открытая акционерная холдинговая компания «Барки Точик»</w:t>
            </w:r>
          </w:p>
        </w:tc>
        <w:tc>
          <w:tcPr>
            <w:tcW w:w="2130" w:type="dxa"/>
            <w:vAlign w:val="center"/>
            <w:hideMark/>
          </w:tcPr>
          <w:p w:rsidR="00000000" w:rsidRDefault="00FE3B23">
            <w:pPr>
              <w:pStyle w:val="a3"/>
            </w:pPr>
            <w:r>
              <w:t>2017 год и в последующем</w:t>
            </w:r>
          </w:p>
          <w:p w:rsidR="00000000" w:rsidRDefault="00FE3B23">
            <w:pPr>
              <w:pStyle w:val="a3"/>
            </w:pPr>
            <w:r>
              <w:t>постоянно</w:t>
            </w:r>
          </w:p>
        </w:tc>
      </w:tr>
      <w:tr w:rsidR="00000000">
        <w:trPr>
          <w:tblCellSpacing w:w="15" w:type="dxa"/>
        </w:trPr>
        <w:tc>
          <w:tcPr>
            <w:tcW w:w="675" w:type="dxa"/>
            <w:vAlign w:val="center"/>
            <w:hideMark/>
          </w:tcPr>
          <w:p w:rsidR="00000000" w:rsidRDefault="00FE3B23">
            <w:pPr>
              <w:pStyle w:val="a3"/>
            </w:pPr>
            <w:r>
              <w:t>15.</w:t>
            </w:r>
          </w:p>
        </w:tc>
        <w:tc>
          <w:tcPr>
            <w:tcW w:w="3540" w:type="dxa"/>
            <w:vAlign w:val="center"/>
            <w:hideMark/>
          </w:tcPr>
          <w:p w:rsidR="00000000" w:rsidRDefault="00FE3B23">
            <w:pPr>
              <w:pStyle w:val="a3"/>
            </w:pPr>
            <w:r>
              <w:t xml:space="preserve">Проведение общественных обсуждений  в  период 4 месяцев     перед каждым изменением    тарифов    </w:t>
            </w:r>
            <w:r>
              <w:t>с предварительным определением    места    и времени          проведения общественных обсуждений</w:t>
            </w:r>
          </w:p>
        </w:tc>
        <w:tc>
          <w:tcPr>
            <w:tcW w:w="3825" w:type="dxa"/>
            <w:vAlign w:val="center"/>
            <w:hideMark/>
          </w:tcPr>
          <w:p w:rsidR="00000000" w:rsidRDefault="00FE3B23">
            <w:pPr>
              <w:pStyle w:val="a3"/>
            </w:pPr>
            <w:r>
              <w:t>Независимый орган по регулированию отрасли, с участием соответствующих министерств и ведомств</w:t>
            </w:r>
          </w:p>
        </w:tc>
        <w:tc>
          <w:tcPr>
            <w:tcW w:w="2130" w:type="dxa"/>
            <w:vAlign w:val="center"/>
            <w:hideMark/>
          </w:tcPr>
          <w:p w:rsidR="00000000" w:rsidRDefault="00FE3B23">
            <w:pPr>
              <w:pStyle w:val="a3"/>
            </w:pPr>
            <w:r>
              <w:t>2017 годи далее на постоянной основе</w:t>
            </w:r>
          </w:p>
        </w:tc>
      </w:tr>
      <w:tr w:rsidR="00000000">
        <w:trPr>
          <w:tblCellSpacing w:w="15" w:type="dxa"/>
        </w:trPr>
        <w:tc>
          <w:tcPr>
            <w:tcW w:w="675" w:type="dxa"/>
            <w:vAlign w:val="center"/>
            <w:hideMark/>
          </w:tcPr>
          <w:p w:rsidR="00000000" w:rsidRDefault="00FE3B23">
            <w:pPr>
              <w:pStyle w:val="a3"/>
            </w:pPr>
            <w:r>
              <w:t>16.</w:t>
            </w:r>
          </w:p>
        </w:tc>
        <w:tc>
          <w:tcPr>
            <w:tcW w:w="3540" w:type="dxa"/>
            <w:vAlign w:val="center"/>
            <w:hideMark/>
          </w:tcPr>
          <w:p w:rsidR="00000000" w:rsidRDefault="00FE3B23">
            <w:pPr>
              <w:pStyle w:val="a3"/>
            </w:pPr>
            <w:r>
              <w:t>Мониторинг    и</w:t>
            </w:r>
            <w:r>
              <w:t>    оценка хода                реализации Концепции      тарифного регулирования в отрасли электроэнергетики          и представление информации       по       её результатам                    в Правительство Республики Таджикистан</w:t>
            </w:r>
          </w:p>
        </w:tc>
        <w:tc>
          <w:tcPr>
            <w:tcW w:w="3825" w:type="dxa"/>
            <w:vAlign w:val="center"/>
            <w:hideMark/>
          </w:tcPr>
          <w:p w:rsidR="00000000" w:rsidRDefault="00FE3B23">
            <w:pPr>
              <w:pStyle w:val="a3"/>
            </w:pPr>
            <w:r>
              <w:t>Министерство энергетик</w:t>
            </w:r>
            <w:r>
              <w:t>и и водных ресурсов, Независимый орган по регулированию отрасли и местные исполнительные органы государственной власти</w:t>
            </w:r>
          </w:p>
        </w:tc>
        <w:tc>
          <w:tcPr>
            <w:tcW w:w="2130" w:type="dxa"/>
            <w:vAlign w:val="center"/>
            <w:hideMark/>
          </w:tcPr>
          <w:p w:rsidR="00000000" w:rsidRDefault="00FE3B23">
            <w:pPr>
              <w:pStyle w:val="a3"/>
            </w:pPr>
            <w:r>
              <w:t>В установленные сроки</w:t>
            </w:r>
          </w:p>
        </w:tc>
      </w:tr>
    </w:tbl>
    <w:p w:rsidR="00FE3B23" w:rsidRDefault="00FE3B23">
      <w:pPr>
        <w:pStyle w:val="a3"/>
      </w:pPr>
      <w:r>
        <w:t> </w:t>
      </w:r>
    </w:p>
    <w:sectPr w:rsidR="00FE3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B85"/>
    <w:multiLevelType w:val="multilevel"/>
    <w:tmpl w:val="026AD49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561D9"/>
    <w:multiLevelType w:val="multilevel"/>
    <w:tmpl w:val="334AF6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1B050B"/>
    <w:multiLevelType w:val="multilevel"/>
    <w:tmpl w:val="378A185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D6ECF"/>
    <w:multiLevelType w:val="multilevel"/>
    <w:tmpl w:val="8B2A671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F94DF3"/>
    <w:multiLevelType w:val="multilevel"/>
    <w:tmpl w:val="0EAE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04371C"/>
    <w:multiLevelType w:val="multilevel"/>
    <w:tmpl w:val="DFDECD9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6B20D8"/>
    <w:multiLevelType w:val="multilevel"/>
    <w:tmpl w:val="8104DE1E"/>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7202EB"/>
    <w:multiLevelType w:val="multilevel"/>
    <w:tmpl w:val="3B629F9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3A0E53"/>
    <w:multiLevelType w:val="multilevel"/>
    <w:tmpl w:val="6EF2C45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4B0F17"/>
    <w:multiLevelType w:val="multilevel"/>
    <w:tmpl w:val="3D94D2F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3E5314"/>
    <w:multiLevelType w:val="multilevel"/>
    <w:tmpl w:val="EA9C109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847B5E"/>
    <w:multiLevelType w:val="multilevel"/>
    <w:tmpl w:val="53124DB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7358A9"/>
    <w:multiLevelType w:val="multilevel"/>
    <w:tmpl w:val="091E46E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510372"/>
    <w:multiLevelType w:val="multilevel"/>
    <w:tmpl w:val="96B669C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4F26E6"/>
    <w:multiLevelType w:val="multilevel"/>
    <w:tmpl w:val="DB863E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387195"/>
    <w:multiLevelType w:val="multilevel"/>
    <w:tmpl w:val="665AFB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C50BA1"/>
    <w:multiLevelType w:val="multilevel"/>
    <w:tmpl w:val="A0B2588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615A18"/>
    <w:multiLevelType w:val="multilevel"/>
    <w:tmpl w:val="16BEC1E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677944"/>
    <w:multiLevelType w:val="multilevel"/>
    <w:tmpl w:val="DA76824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15"/>
  </w:num>
  <w:num w:numId="4">
    <w:abstractNumId w:val="17"/>
  </w:num>
  <w:num w:numId="5">
    <w:abstractNumId w:val="1"/>
  </w:num>
  <w:num w:numId="6">
    <w:abstractNumId w:val="5"/>
  </w:num>
  <w:num w:numId="7">
    <w:abstractNumId w:val="10"/>
  </w:num>
  <w:num w:numId="8">
    <w:abstractNumId w:val="13"/>
  </w:num>
  <w:num w:numId="9">
    <w:abstractNumId w:val="3"/>
  </w:num>
  <w:num w:numId="10">
    <w:abstractNumId w:val="16"/>
  </w:num>
  <w:num w:numId="11">
    <w:abstractNumId w:val="7"/>
  </w:num>
  <w:num w:numId="12">
    <w:abstractNumId w:val="2"/>
  </w:num>
  <w:num w:numId="13">
    <w:abstractNumId w:val="8"/>
  </w:num>
  <w:num w:numId="14">
    <w:abstractNumId w:val="11"/>
  </w:num>
  <w:num w:numId="15">
    <w:abstractNumId w:val="18"/>
  </w:num>
  <w:num w:numId="16">
    <w:abstractNumId w:val="9"/>
  </w:num>
  <w:num w:numId="17">
    <w:abstractNumId w:val="0"/>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4544C8"/>
    <w:rsid w:val="004544C8"/>
    <w:rsid w:val="00FE3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paragraph" w:customStyle="1" w:styleId="ewheaderrow">
    <w:name w:val="ewheaderrow"/>
    <w:basedOn w:val="a"/>
    <w:pPr>
      <w:shd w:val="clear" w:color="auto" w:fill="256686"/>
      <w:spacing w:before="100" w:beforeAutospacing="1" w:after="100" w:afterAutospacing="1"/>
    </w:pPr>
  </w:style>
  <w:style w:type="paragraph" w:customStyle="1" w:styleId="ewsitetitle">
    <w:name w:val="ewsitetitle"/>
    <w:basedOn w:val="a"/>
    <w:pPr>
      <w:spacing w:before="100" w:beforeAutospacing="1" w:after="300"/>
    </w:pPr>
  </w:style>
  <w:style w:type="paragraph" w:customStyle="1" w:styleId="ewcontenttable">
    <w:name w:val="ewcontenttable"/>
    <w:basedOn w:val="a"/>
    <w:pPr>
      <w:spacing w:before="100" w:beforeAutospacing="1" w:after="100" w:afterAutospacing="1"/>
    </w:pPr>
  </w:style>
  <w:style w:type="paragraph" w:customStyle="1" w:styleId="ewmenucolumn">
    <w:name w:val="ewmenucolumn"/>
    <w:basedOn w:val="a"/>
    <w:pPr>
      <w:shd w:val="clear" w:color="auto" w:fill="F5F5F5"/>
      <w:spacing w:before="100" w:beforeAutospacing="1" w:after="100" w:afterAutospacing="1"/>
      <w:textAlignment w:val="top"/>
    </w:pPr>
  </w:style>
  <w:style w:type="paragraph" w:customStyle="1" w:styleId="ewcontentcolumn">
    <w:name w:val="ewcontentcolumn"/>
    <w:basedOn w:val="a"/>
    <w:pPr>
      <w:spacing w:before="100" w:beforeAutospacing="1" w:after="100" w:afterAutospacing="1"/>
      <w:textAlignment w:val="top"/>
    </w:pPr>
  </w:style>
  <w:style w:type="paragraph" w:customStyle="1" w:styleId="ewfooterrow">
    <w:name w:val="ewfooterrow"/>
    <w:basedOn w:val="a"/>
    <w:pPr>
      <w:shd w:val="clear" w:color="auto" w:fill="A9A9A9"/>
      <w:spacing w:before="100" w:beforeAutospacing="1" w:after="100" w:afterAutospacing="1"/>
    </w:pPr>
    <w:rPr>
      <w:color w:val="FFFFFF"/>
    </w:rPr>
  </w:style>
  <w:style w:type="paragraph" w:customStyle="1" w:styleId="ewfootertext">
    <w:name w:val="ewfootertext"/>
    <w:basedOn w:val="a"/>
    <w:pPr>
      <w:spacing w:before="100" w:beforeAutospacing="1" w:after="100" w:afterAutospacing="1"/>
    </w:pPr>
  </w:style>
  <w:style w:type="paragraph" w:customStyle="1" w:styleId="ewicon">
    <w:name w:val="ewicon"/>
    <w:basedOn w:val="a"/>
    <w:pPr>
      <w:spacing w:before="100" w:beforeAutospacing="1" w:after="100" w:afterAutospacing="1"/>
    </w:pPr>
  </w:style>
  <w:style w:type="paragraph" w:customStyle="1" w:styleId="ewimage">
    <w:name w:val="ewimage"/>
    <w:basedOn w:val="a"/>
    <w:pPr>
      <w:spacing w:before="15" w:after="15"/>
      <w:ind w:left="15" w:right="15"/>
    </w:pPr>
  </w:style>
  <w:style w:type="paragraph" w:customStyle="1" w:styleId="ewgrid">
    <w:name w:val="ewgrid"/>
    <w:basedOn w:val="a"/>
    <w:pPr>
      <w:pBdr>
        <w:top w:val="single" w:sz="6" w:space="0" w:color="4F93E3"/>
        <w:left w:val="single" w:sz="6" w:space="0" w:color="4F93E3"/>
        <w:bottom w:val="single" w:sz="6" w:space="0" w:color="4F93E3"/>
        <w:right w:val="single" w:sz="6" w:space="0" w:color="4F93E3"/>
      </w:pBdr>
      <w:spacing w:before="100" w:beforeAutospacing="1" w:after="300"/>
    </w:pPr>
  </w:style>
  <w:style w:type="paragraph" w:customStyle="1" w:styleId="ewstdtable">
    <w:name w:val="ewstdtable"/>
    <w:basedOn w:val="a"/>
    <w:pPr>
      <w:spacing w:before="100" w:beforeAutospacing="1" w:after="100" w:afterAutospacing="1"/>
    </w:pPr>
  </w:style>
  <w:style w:type="paragraph" w:customStyle="1" w:styleId="ewstdtabletbodytrtd">
    <w:name w:val="ewstdtable&gt;tbody&gt;tr&gt;td"/>
    <w:basedOn w:val="a"/>
    <w:pPr>
      <w:spacing w:before="100" w:beforeAutospacing="1" w:after="100" w:afterAutospacing="1"/>
    </w:pPr>
  </w:style>
  <w:style w:type="paragraph" w:customStyle="1" w:styleId="ewsearchpanel">
    <w:name w:val="ewsearchpanel"/>
    <w:basedOn w:val="a"/>
    <w:pPr>
      <w:spacing w:before="100" w:beforeAutospacing="1" w:after="300"/>
    </w:pPr>
  </w:style>
  <w:style w:type="paragraph" w:customStyle="1" w:styleId="ewpager">
    <w:name w:val="ewpager"/>
    <w:basedOn w:val="a"/>
    <w:pPr>
      <w:spacing w:before="100" w:beforeAutospacing="1" w:after="300"/>
    </w:pPr>
  </w:style>
  <w:style w:type="paragraph" w:customStyle="1" w:styleId="ewlistotheroptions">
    <w:name w:val="ewlistotheroptions"/>
    <w:basedOn w:val="a"/>
    <w:pPr>
      <w:spacing w:before="100" w:beforeAutospacing="1" w:after="30"/>
    </w:pPr>
  </w:style>
  <w:style w:type="paragraph" w:customStyle="1" w:styleId="ewdropdownlist">
    <w:name w:val="ewdropdownlist"/>
    <w:basedOn w:val="a"/>
    <w:pPr>
      <w:spacing w:before="100" w:beforeAutospacing="1" w:after="100" w:afterAutospacing="1"/>
      <w:textAlignment w:val="center"/>
    </w:pPr>
  </w:style>
  <w:style w:type="paragraph" w:customStyle="1" w:styleId="ewtabcontent">
    <w:name w:val="ewtabcontent"/>
    <w:basedOn w:val="a"/>
    <w:pPr>
      <w:spacing w:before="100" w:beforeAutospacing="1" w:after="100" w:afterAutospacing="1"/>
    </w:pPr>
  </w:style>
  <w:style w:type="paragraph" w:customStyle="1" w:styleId="ewcheckbox">
    <w:name w:val="ewcheckbox"/>
    <w:basedOn w:val="a"/>
    <w:pPr>
      <w:spacing w:before="100" w:beforeAutospacing="1" w:after="100" w:afterAutospacing="1"/>
      <w:jc w:val="center"/>
    </w:pPr>
  </w:style>
  <w:style w:type="paragraph" w:customStyle="1" w:styleId="ewactionoption">
    <w:name w:val="ewactionoption"/>
    <w:basedOn w:val="a"/>
    <w:pPr>
      <w:spacing w:before="100" w:beforeAutospacing="1" w:after="100" w:afterAutospacing="1"/>
    </w:pPr>
  </w:style>
  <w:style w:type="paragraph" w:customStyle="1" w:styleId="ewmulticolumnlistoption">
    <w:name w:val="ewmulticolumnlistoption"/>
    <w:basedOn w:val="a"/>
    <w:pPr>
      <w:spacing w:before="100" w:beforeAutospacing="1" w:after="100" w:afterAutospacing="1"/>
    </w:pPr>
  </w:style>
  <w:style w:type="paragraph" w:customStyle="1" w:styleId="ewlistoptionseparator">
    <w:name w:val="ewlistoptionseparator"/>
    <w:basedOn w:val="a"/>
    <w:pPr>
      <w:spacing w:before="100" w:beforeAutospacing="1" w:after="100" w:afterAutospacing="1"/>
    </w:pPr>
  </w:style>
  <w:style w:type="paragraph" w:customStyle="1" w:styleId="ewpreviewlowerpanel">
    <w:name w:val="ewpreviewlowerpanel"/>
    <w:basedOn w:val="a"/>
    <w:pPr>
      <w:spacing w:before="100" w:beforeAutospacing="1" w:after="100" w:afterAutospacing="1"/>
    </w:pPr>
  </w:style>
  <w:style w:type="paragraph" w:customStyle="1" w:styleId="ewexporttable">
    <w:name w:val="ewexporttable"/>
    <w:basedOn w:val="a"/>
    <w:pPr>
      <w:spacing w:before="100" w:beforeAutospacing="1" w:after="100" w:afterAutospacing="1"/>
    </w:pPr>
  </w:style>
  <w:style w:type="paragraph" w:customStyle="1" w:styleId="ewexporttablerowtd">
    <w:name w:val="ewexporttablerow&gt;td"/>
    <w:basedOn w:val="a"/>
    <w:pPr>
      <w:shd w:val="clear" w:color="auto" w:fill="FFFFFF"/>
      <w:spacing w:before="100" w:beforeAutospacing="1" w:after="100" w:afterAutospacing="1"/>
    </w:pPr>
  </w:style>
  <w:style w:type="paragraph" w:customStyle="1" w:styleId="ewexporttablealtrowtd">
    <w:name w:val="ewexporttablealtrow&gt;td"/>
    <w:basedOn w:val="a"/>
    <w:pPr>
      <w:shd w:val="clear" w:color="auto" w:fill="EDF5FF"/>
      <w:spacing w:before="100" w:beforeAutospacing="1" w:after="100" w:afterAutospacing="1"/>
    </w:pPr>
  </w:style>
  <w:style w:type="paragraph" w:customStyle="1" w:styleId="ewexporttablefooter">
    <w:name w:val="ewexporttablefooter"/>
    <w:basedOn w:val="a"/>
    <w:pPr>
      <w:shd w:val="clear" w:color="auto" w:fill="D4E7FD"/>
      <w:spacing w:before="100" w:beforeAutospacing="1" w:after="100" w:afterAutospacing="1"/>
    </w:pPr>
  </w:style>
  <w:style w:type="paragraph" w:customStyle="1" w:styleId="ewlistexportoptions">
    <w:name w:val="ewlistexportoptions"/>
    <w:basedOn w:val="a"/>
    <w:pPr>
      <w:spacing w:before="100" w:beforeAutospacing="1" w:after="300"/>
    </w:pPr>
  </w:style>
  <w:style w:type="paragraph" w:customStyle="1" w:styleId="ewviewexportoptions">
    <w:name w:val="ewviewexportoptions"/>
    <w:basedOn w:val="a"/>
    <w:pPr>
      <w:spacing w:before="100" w:beforeAutospacing="1" w:after="300"/>
    </w:pPr>
  </w:style>
  <w:style w:type="paragraph" w:customStyle="1" w:styleId="ewviewotheroptions">
    <w:name w:val="ewviewotheroptions"/>
    <w:basedOn w:val="a"/>
    <w:pPr>
      <w:spacing w:before="100" w:beforeAutospacing="1" w:after="300"/>
    </w:pPr>
  </w:style>
  <w:style w:type="paragraph" w:customStyle="1" w:styleId="ewrow">
    <w:name w:val="ewrow"/>
    <w:basedOn w:val="a"/>
    <w:pPr>
      <w:spacing w:before="100" w:beforeAutospacing="1" w:after="300"/>
    </w:pPr>
  </w:style>
  <w:style w:type="paragraph" w:customStyle="1" w:styleId="ewsearchoperator">
    <w:name w:val="ewsearchoperator"/>
    <w:basedOn w:val="a"/>
    <w:pPr>
      <w:spacing w:before="100" w:beforeAutospacing="1" w:after="100" w:afterAutospacing="1"/>
    </w:pPr>
    <w:rPr>
      <w:color w:val="800000"/>
    </w:rPr>
  </w:style>
  <w:style w:type="paragraph" w:customStyle="1" w:styleId="ewseparator">
    <w:name w:val="ewseparator"/>
    <w:basedOn w:val="a"/>
    <w:pPr>
      <w:spacing w:before="100" w:beforeAutospacing="1" w:after="100" w:afterAutospacing="1"/>
    </w:pPr>
    <w:rPr>
      <w:color w:val="808080"/>
    </w:rPr>
  </w:style>
  <w:style w:type="paragraph" w:customStyle="1" w:styleId="ewlinkseparator">
    <w:name w:val="ewlinkseparator"/>
    <w:basedOn w:val="a"/>
    <w:pPr>
      <w:spacing w:before="100" w:beforeAutospacing="1" w:after="100" w:afterAutospacing="1"/>
    </w:pPr>
  </w:style>
  <w:style w:type="paragraph" w:customStyle="1" w:styleId="ewreporttable">
    <w:name w:val="ewreporttable"/>
    <w:basedOn w:val="a"/>
    <w:pPr>
      <w:spacing w:before="100" w:beforeAutospacing="1" w:after="100" w:afterAutospacing="1"/>
    </w:pPr>
  </w:style>
  <w:style w:type="paragraph" w:customStyle="1" w:styleId="ewgroupindent">
    <w:name w:val="ewgroupindent"/>
    <w:basedOn w:val="a"/>
    <w:pPr>
      <w:spacing w:before="100" w:beforeAutospacing="1" w:after="100" w:afterAutospacing="1"/>
    </w:pPr>
  </w:style>
  <w:style w:type="paragraph" w:customStyle="1" w:styleId="ewgroupfield">
    <w:name w:val="ewgroupfield"/>
    <w:basedOn w:val="a"/>
    <w:pPr>
      <w:spacing w:before="100" w:beforeAutospacing="1" w:after="100" w:afterAutospacing="1"/>
    </w:pPr>
    <w:rPr>
      <w:b/>
      <w:bCs/>
    </w:rPr>
  </w:style>
  <w:style w:type="paragraph" w:customStyle="1" w:styleId="ewgroupname">
    <w:name w:val="ewgroupname"/>
    <w:basedOn w:val="a"/>
    <w:pPr>
      <w:spacing w:before="100" w:beforeAutospacing="1" w:after="100" w:afterAutospacing="1"/>
    </w:pPr>
    <w:rPr>
      <w:b/>
      <w:bCs/>
    </w:rPr>
  </w:style>
  <w:style w:type="paragraph" w:customStyle="1" w:styleId="ewgroupheader">
    <w:name w:val="ewgroupheader"/>
    <w:basedOn w:val="a"/>
    <w:pPr>
      <w:pBdr>
        <w:top w:val="double" w:sz="6" w:space="0" w:color="808080"/>
        <w:bottom w:val="double" w:sz="6" w:space="0" w:color="808080"/>
      </w:pBdr>
      <w:spacing w:before="100" w:beforeAutospacing="1" w:after="100" w:afterAutospacing="1"/>
      <w:textAlignment w:val="top"/>
    </w:pPr>
  </w:style>
  <w:style w:type="paragraph" w:customStyle="1" w:styleId="ewgroupsummary">
    <w:name w:val="ewgroupsummary"/>
    <w:basedOn w:val="a"/>
    <w:pPr>
      <w:pBdr>
        <w:top w:val="single" w:sz="6" w:space="0" w:color="808080"/>
      </w:pBdr>
      <w:spacing w:before="100" w:beforeAutospacing="1" w:after="100" w:afterAutospacing="1"/>
    </w:pPr>
  </w:style>
  <w:style w:type="paragraph" w:customStyle="1" w:styleId="ewgroupaggregate">
    <w:name w:val="ewgroupaggregate"/>
    <w:basedOn w:val="a"/>
    <w:pPr>
      <w:spacing w:before="100" w:beforeAutospacing="1" w:after="100" w:afterAutospacing="1"/>
    </w:pPr>
    <w:rPr>
      <w:b/>
      <w:bCs/>
    </w:rPr>
  </w:style>
  <w:style w:type="paragraph" w:customStyle="1" w:styleId="ewgrandsummary">
    <w:name w:val="ewgrandsummary"/>
    <w:basedOn w:val="a"/>
    <w:pPr>
      <w:pBdr>
        <w:top w:val="single" w:sz="6" w:space="0" w:color="808080"/>
      </w:pBdr>
      <w:spacing w:before="100" w:beforeAutospacing="1" w:after="100" w:afterAutospacing="1"/>
    </w:pPr>
  </w:style>
  <w:style w:type="paragraph" w:customStyle="1" w:styleId="ewmessagetable">
    <w:name w:val="ewmessagetable"/>
    <w:basedOn w:val="a"/>
    <w:pPr>
      <w:spacing w:before="240" w:after="240"/>
    </w:pPr>
  </w:style>
  <w:style w:type="paragraph" w:customStyle="1" w:styleId="ewrequired">
    <w:name w:val="ewrequired"/>
    <w:basedOn w:val="a"/>
    <w:pPr>
      <w:spacing w:before="100" w:beforeAutospacing="1" w:after="100" w:afterAutospacing="1"/>
    </w:pPr>
    <w:rPr>
      <w:color w:val="FF0000"/>
    </w:rPr>
  </w:style>
  <w:style w:type="paragraph" w:customStyle="1" w:styleId="ewhighlightsearch">
    <w:name w:val="ewhighlightsearch"/>
    <w:basedOn w:val="a"/>
    <w:pPr>
      <w:shd w:val="clear" w:color="auto" w:fill="FFFF00"/>
      <w:spacing w:before="100" w:beforeAutospacing="1" w:after="100" w:afterAutospacing="1"/>
    </w:pPr>
    <w:rPr>
      <w:b/>
      <w:bCs/>
    </w:rPr>
  </w:style>
  <w:style w:type="paragraph" w:customStyle="1" w:styleId="ewtemplate">
    <w:name w:val="ewtemplate"/>
    <w:basedOn w:val="a"/>
    <w:pPr>
      <w:spacing w:before="100" w:beforeAutospacing="1" w:after="100" w:afterAutospacing="1"/>
    </w:pPr>
    <w:rPr>
      <w:vanish/>
    </w:rPr>
  </w:style>
  <w:style w:type="paragraph" w:customStyle="1" w:styleId="ewreadonlytextarea">
    <w:name w:val="ewreadonlytextarea"/>
    <w:basedOn w:val="a"/>
    <w:pPr>
      <w:spacing w:before="100" w:beforeAutospacing="1" w:after="100" w:afterAutospacing="1"/>
    </w:pPr>
  </w:style>
  <w:style w:type="paragraph" w:customStyle="1" w:styleId="ewreadonlytextareadata">
    <w:name w:val="ewreadonlytextareadata"/>
    <w:basedOn w:val="a"/>
    <w:pPr>
      <w:spacing w:before="100" w:beforeAutospacing="1" w:after="100" w:afterAutospacing="1"/>
    </w:pPr>
  </w:style>
  <w:style w:type="paragraph" w:customStyle="1" w:styleId="ewresizehandle">
    <w:name w:val="ewresizehandle"/>
    <w:basedOn w:val="a"/>
    <w:pPr>
      <w:spacing w:before="100" w:beforeAutospacing="1" w:after="100" w:afterAutospacing="1"/>
    </w:pPr>
  </w:style>
  <w:style w:type="paragraph" w:customStyle="1" w:styleId="ewuploadtable">
    <w:name w:val="ewuploadtable"/>
    <w:basedOn w:val="a"/>
    <w:pPr>
      <w:spacing w:before="100" w:beforeAutospacing="1"/>
    </w:pPr>
  </w:style>
  <w:style w:type="paragraph" w:customStyle="1" w:styleId="ewlabelrow">
    <w:name w:val="ewlabelrow"/>
    <w:basedOn w:val="a"/>
    <w:pPr>
      <w:spacing w:before="100" w:beforeAutospacing="1" w:after="75"/>
    </w:pPr>
  </w:style>
  <w:style w:type="paragraph" w:customStyle="1" w:styleId="ewinputrow">
    <w:name w:val="ewinputrow"/>
    <w:basedOn w:val="a"/>
    <w:pPr>
      <w:spacing w:before="100" w:beforeAutospacing="1" w:after="300"/>
    </w:pPr>
  </w:style>
  <w:style w:type="paragraph" w:customStyle="1" w:styleId="nav-tabs">
    <w:name w:val="nav-tabs"/>
    <w:basedOn w:val="a"/>
    <w:pPr>
      <w:spacing w:before="100" w:beforeAutospacing="1" w:after="300"/>
    </w:pPr>
  </w:style>
  <w:style w:type="paragraph" w:customStyle="1" w:styleId="nav-pills">
    <w:name w:val="nav-pills"/>
    <w:basedOn w:val="a"/>
    <w:pPr>
      <w:spacing w:before="100" w:beforeAutospacing="1" w:after="300"/>
    </w:pPr>
  </w:style>
  <w:style w:type="paragraph" w:customStyle="1" w:styleId="tt-hint">
    <w:name w:val="tt-hint"/>
    <w:basedOn w:val="a"/>
    <w:pPr>
      <w:spacing w:before="100" w:beforeAutospacing="1" w:after="100" w:afterAutospacing="1"/>
    </w:pPr>
    <w:rPr>
      <w:color w:val="777777"/>
    </w:rPr>
  </w:style>
  <w:style w:type="paragraph" w:customStyle="1" w:styleId="tt-dropdown-menu">
    <w:name w:val="tt-dropdown-menu"/>
    <w:basedOn w:val="a"/>
    <w:pPr>
      <w:pBdr>
        <w:top w:val="single" w:sz="6" w:space="4" w:color="CCCCCC"/>
        <w:left w:val="single" w:sz="6" w:space="0" w:color="CCCCCC"/>
        <w:bottom w:val="single" w:sz="6" w:space="4" w:color="CCCCCC"/>
        <w:right w:val="single" w:sz="6" w:space="0" w:color="CCCCCC"/>
      </w:pBdr>
      <w:shd w:val="clear" w:color="auto" w:fill="FFFFFF"/>
      <w:spacing w:before="15" w:after="100" w:afterAutospacing="1"/>
    </w:pPr>
  </w:style>
  <w:style w:type="paragraph" w:customStyle="1" w:styleId="tt-suggestion">
    <w:name w:val="tt-suggestion"/>
    <w:basedOn w:val="a"/>
    <w:pPr>
      <w:spacing w:before="100" w:beforeAutospacing="1" w:after="100" w:afterAutospacing="1"/>
    </w:pPr>
  </w:style>
  <w:style w:type="paragraph" w:customStyle="1" w:styleId="ewspinner">
    <w:name w:val="ewspinner"/>
    <w:basedOn w:val="a"/>
    <w:pPr>
      <w:ind w:left="120" w:right="120"/>
      <w:textAlignment w:val="center"/>
    </w:pPr>
    <w:rPr>
      <w:sz w:val="6"/>
      <w:szCs w:val="6"/>
    </w:rPr>
  </w:style>
  <w:style w:type="paragraph" w:customStyle="1" w:styleId="ewdetailpages">
    <w:name w:val="ewdetailpages"/>
    <w:basedOn w:val="a"/>
    <w:pPr>
      <w:spacing w:before="100" w:beforeAutospacing="1" w:after="300"/>
    </w:pPr>
  </w:style>
  <w:style w:type="paragraph" w:customStyle="1" w:styleId="ewcustomtemplate">
    <w:name w:val="ewcustomtemplate"/>
    <w:basedOn w:val="a"/>
    <w:pPr>
      <w:spacing w:before="100" w:beforeAutospacing="1" w:after="300"/>
    </w:pPr>
  </w:style>
  <w:style w:type="paragraph" w:customStyle="1" w:styleId="ewcustomtemplatepage">
    <w:name w:val="ewcustomtemplatepage"/>
    <w:basedOn w:val="a"/>
    <w:pPr>
      <w:spacing w:before="100" w:beforeAutospacing="1" w:after="300"/>
    </w:pPr>
  </w:style>
  <w:style w:type="paragraph" w:customStyle="1" w:styleId="ewcustomtemplatesearch">
    <w:name w:val="ewcustomtemplatesearch"/>
    <w:basedOn w:val="a"/>
    <w:pPr>
      <w:spacing w:before="100" w:beforeAutospacing="1" w:after="300"/>
    </w:pPr>
  </w:style>
  <w:style w:type="paragraph" w:customStyle="1" w:styleId="help-block">
    <w:name w:val="help-block"/>
    <w:basedOn w:val="a"/>
    <w:pPr>
      <w:spacing w:before="75"/>
    </w:pPr>
  </w:style>
  <w:style w:type="paragraph" w:customStyle="1" w:styleId="ewpasswordstrengthbar">
    <w:name w:val="ewpasswordstrengthbar"/>
    <w:basedOn w:val="a"/>
    <w:pPr>
      <w:spacing w:before="75"/>
    </w:pPr>
  </w:style>
  <w:style w:type="paragraph" w:customStyle="1" w:styleId="breadcrumb">
    <w:name w:val="breadcrumb"/>
    <w:basedOn w:val="a"/>
    <w:pPr>
      <w:spacing w:before="100" w:beforeAutospacing="1" w:after="100" w:afterAutospacing="1"/>
    </w:pPr>
  </w:style>
  <w:style w:type="paragraph" w:customStyle="1" w:styleId="ewexportoption">
    <w:name w:val="ewexportoption"/>
    <w:basedOn w:val="a"/>
    <w:pPr>
      <w:spacing w:before="100" w:beforeAutospacing="1" w:after="100" w:afterAutospacing="1"/>
    </w:pPr>
  </w:style>
  <w:style w:type="paragraph" w:customStyle="1" w:styleId="ewsearchoption">
    <w:name w:val="ewsearchoption"/>
    <w:basedOn w:val="a"/>
    <w:pPr>
      <w:spacing w:before="100" w:beforeAutospacing="1" w:after="100" w:afterAutospacing="1"/>
    </w:pPr>
  </w:style>
  <w:style w:type="paragraph" w:customStyle="1" w:styleId="ewdetailoption">
    <w:name w:val="ewdetailoption"/>
    <w:basedOn w:val="a"/>
    <w:pPr>
      <w:spacing w:before="100" w:beforeAutospacing="1" w:after="100" w:afterAutospacing="1"/>
    </w:pPr>
  </w:style>
  <w:style w:type="paragraph" w:customStyle="1" w:styleId="ewfilteroption">
    <w:name w:val="ewfilteroption"/>
    <w:basedOn w:val="a"/>
    <w:pPr>
      <w:spacing w:before="100" w:beforeAutospacing="1" w:after="100" w:afterAutospacing="1"/>
    </w:pPr>
  </w:style>
  <w:style w:type="paragraph" w:customStyle="1" w:styleId="ewlanguageoption">
    <w:name w:val="ewlanguageoption"/>
    <w:basedOn w:val="a"/>
    <w:pPr>
      <w:spacing w:before="100" w:beforeAutospacing="1" w:after="100" w:afterAutospacing="1"/>
    </w:pPr>
  </w:style>
  <w:style w:type="paragraph" w:customStyle="1" w:styleId="ewdesktopbutton">
    <w:name w:val="ewdesktopbutton"/>
    <w:basedOn w:val="a"/>
    <w:pPr>
      <w:spacing w:before="100" w:beforeAutospacing="1" w:after="100" w:afterAutospacing="1"/>
    </w:pPr>
  </w:style>
  <w:style w:type="paragraph" w:customStyle="1" w:styleId="ewgridcontent">
    <w:name w:val="ewgridcontent"/>
    <w:basedOn w:val="a"/>
    <w:pPr>
      <w:spacing w:before="100" w:beforeAutospacing="1" w:after="100" w:afterAutospacing="1"/>
    </w:pPr>
  </w:style>
  <w:style w:type="paragraph" w:customStyle="1" w:styleId="ewgridupperpanel">
    <w:name w:val="ewgridupperpanel"/>
    <w:basedOn w:val="a"/>
    <w:pPr>
      <w:spacing w:before="100" w:beforeAutospacing="1" w:after="100" w:afterAutospacing="1"/>
    </w:pPr>
  </w:style>
  <w:style w:type="paragraph" w:customStyle="1" w:styleId="ewtable">
    <w:name w:val="ewtable"/>
    <w:basedOn w:val="a"/>
    <w:pPr>
      <w:spacing w:before="100" w:beforeAutospacing="1" w:after="100" w:afterAutospacing="1"/>
    </w:pPr>
  </w:style>
  <w:style w:type="paragraph" w:customStyle="1" w:styleId="ewgridmiddlepanel">
    <w:name w:val="ewgridmiddlepanel"/>
    <w:basedOn w:val="a"/>
    <w:pPr>
      <w:spacing w:before="100" w:beforeAutospacing="1" w:after="100" w:afterAutospacing="1"/>
    </w:pPr>
  </w:style>
  <w:style w:type="paragraph" w:customStyle="1" w:styleId="ewgridlowerpanel">
    <w:name w:val="ewgridlowerpanel"/>
    <w:basedOn w:val="a"/>
    <w:pPr>
      <w:spacing w:before="100" w:beforeAutospacing="1" w:after="100" w:afterAutospacing="1"/>
    </w:pPr>
  </w:style>
  <w:style w:type="paragraph" w:customStyle="1" w:styleId="panel-body">
    <w:name w:val="panel-body"/>
    <w:basedOn w:val="a"/>
    <w:pPr>
      <w:spacing w:before="100" w:beforeAutospacing="1" w:after="100" w:afterAutospacing="1"/>
    </w:pPr>
  </w:style>
  <w:style w:type="paragraph" w:customStyle="1" w:styleId="pagination">
    <w:name w:val="pagination"/>
    <w:basedOn w:val="a"/>
    <w:pPr>
      <w:spacing w:before="100" w:beforeAutospacing="1" w:after="100" w:afterAutospacing="1"/>
    </w:pPr>
  </w:style>
  <w:style w:type="paragraph" w:customStyle="1" w:styleId="paginationlia">
    <w:name w:val="pagination&gt;li&gt;a"/>
    <w:basedOn w:val="a"/>
    <w:pPr>
      <w:spacing w:before="100" w:beforeAutospacing="1" w:after="100" w:afterAutospacing="1"/>
    </w:pPr>
  </w:style>
  <w:style w:type="paragraph" w:customStyle="1" w:styleId="paginationlispan">
    <w:name w:val="pagination&gt;li&gt;span"/>
    <w:basedOn w:val="a"/>
    <w:pPr>
      <w:spacing w:before="100" w:beforeAutospacing="1" w:after="100" w:afterAutospacing="1"/>
    </w:pPr>
  </w:style>
  <w:style w:type="paragraph" w:customStyle="1" w:styleId="dropdown-toggle">
    <w:name w:val="dropdown-toggle"/>
    <w:basedOn w:val="a"/>
    <w:pPr>
      <w:spacing w:before="100" w:beforeAutospacing="1" w:after="100" w:afterAutospacing="1"/>
    </w:pPr>
  </w:style>
  <w:style w:type="paragraph" w:customStyle="1" w:styleId="form-control-feedback">
    <w:name w:val="form-control-feedback"/>
    <w:basedOn w:val="a"/>
    <w:pPr>
      <w:spacing w:before="100" w:beforeAutospacing="1" w:after="100" w:afterAutospacing="1"/>
    </w:pPr>
  </w:style>
  <w:style w:type="paragraph" w:customStyle="1" w:styleId="ewdropdownlistclear">
    <w:name w:val="ewdropdownlistclear"/>
    <w:basedOn w:val="a"/>
    <w:pPr>
      <w:spacing w:before="100" w:beforeAutospacing="1" w:after="100" w:afterAutospacing="1"/>
    </w:pPr>
  </w:style>
  <w:style w:type="paragraph" w:customStyle="1" w:styleId="ewtableheaderbtn">
    <w:name w:val="ewtableheaderbtn"/>
    <w:basedOn w:val="a"/>
    <w:pPr>
      <w:spacing w:before="100" w:beforeAutospacing="1" w:after="100" w:afterAutospacing="1"/>
    </w:pPr>
  </w:style>
  <w:style w:type="paragraph" w:customStyle="1" w:styleId="ewtabletbodytrtd">
    <w:name w:val="ewtable&gt;tbody&gt;tr&gt;td"/>
    <w:basedOn w:val="a"/>
    <w:pPr>
      <w:spacing w:before="100" w:beforeAutospacing="1" w:after="100" w:afterAutospacing="1"/>
    </w:pPr>
  </w:style>
  <w:style w:type="paragraph" w:customStyle="1" w:styleId="ewtabletfoottrtd">
    <w:name w:val="ewtable&gt;tfoot&gt;tr&gt;td"/>
    <w:basedOn w:val="a"/>
    <w:pPr>
      <w:spacing w:before="100" w:beforeAutospacing="1" w:after="100" w:afterAutospacing="1"/>
    </w:pPr>
  </w:style>
  <w:style w:type="paragraph" w:customStyle="1" w:styleId="ewtabletheadtrth">
    <w:name w:val="ewtable&gt;thead&gt;tr&gt;th"/>
    <w:basedOn w:val="a"/>
    <w:pPr>
      <w:spacing w:before="100" w:beforeAutospacing="1" w:after="100" w:afterAutospacing="1"/>
    </w:pPr>
  </w:style>
  <w:style w:type="paragraph" w:customStyle="1" w:styleId="ewtabletheadtrtd">
    <w:name w:val="ewtable&gt;thead&gt;tr&gt;td"/>
    <w:basedOn w:val="a"/>
    <w:pPr>
      <w:spacing w:before="100" w:beforeAutospacing="1" w:after="100" w:afterAutospacing="1"/>
    </w:pPr>
  </w:style>
  <w:style w:type="paragraph" w:customStyle="1" w:styleId="btn-sm">
    <w:name w:val="btn-sm"/>
    <w:basedOn w:val="a"/>
    <w:pPr>
      <w:spacing w:before="100" w:beforeAutospacing="1" w:after="100" w:afterAutospacing="1"/>
    </w:pPr>
  </w:style>
  <w:style w:type="paragraph" w:customStyle="1" w:styleId="ewdetailcount">
    <w:name w:val="ewdetailcount"/>
    <w:basedOn w:val="a"/>
    <w:pPr>
      <w:spacing w:before="100" w:beforeAutospacing="1" w:after="100" w:afterAutospacing="1"/>
    </w:pPr>
  </w:style>
  <w:style w:type="paragraph" w:customStyle="1" w:styleId="ewtableheader">
    <w:name w:val="ewtableheader"/>
    <w:basedOn w:val="a"/>
    <w:pPr>
      <w:spacing w:before="100" w:beforeAutospacing="1" w:after="100" w:afterAutospacing="1"/>
    </w:pPr>
  </w:style>
  <w:style w:type="paragraph" w:customStyle="1" w:styleId="ewcell">
    <w:name w:val="ewcell"/>
    <w:basedOn w:val="a"/>
    <w:pPr>
      <w:spacing w:before="100" w:beforeAutospacing="1" w:after="100" w:afterAutospacing="1"/>
    </w:pPr>
  </w:style>
  <w:style w:type="paragraph" w:customStyle="1" w:styleId="ewsearchcond">
    <w:name w:val="ewsearchcond"/>
    <w:basedOn w:val="a"/>
    <w:pPr>
      <w:spacing w:before="100" w:beforeAutospacing="1" w:after="100" w:afterAutospacing="1"/>
    </w:pPr>
  </w:style>
  <w:style w:type="paragraph" w:customStyle="1" w:styleId="ewitemtable">
    <w:name w:val="ewitemtable"/>
    <w:basedOn w:val="a"/>
    <w:pPr>
      <w:spacing w:before="100" w:beforeAutospacing="1" w:after="100" w:afterAutospacing="1"/>
    </w:pPr>
  </w:style>
  <w:style w:type="paragraph" w:customStyle="1" w:styleId="list-group">
    <w:name w:val="list-group"/>
    <w:basedOn w:val="a"/>
    <w:pPr>
      <w:spacing w:before="100" w:beforeAutospacing="1" w:after="100" w:afterAutospacing="1"/>
    </w:pPr>
  </w:style>
  <w:style w:type="paragraph" w:customStyle="1" w:styleId="form-group">
    <w:name w:val="form-group"/>
    <w:basedOn w:val="a"/>
    <w:pPr>
      <w:spacing w:before="100" w:beforeAutospacing="1" w:after="100" w:afterAutospacing="1"/>
    </w:pPr>
  </w:style>
  <w:style w:type="paragraph" w:customStyle="1" w:styleId="ewtableheadersort">
    <w:name w:val="ewtableheadersort"/>
    <w:basedOn w:val="a"/>
    <w:pPr>
      <w:spacing w:before="100" w:beforeAutospacing="1" w:after="100" w:afterAutospacing="1"/>
    </w:pPr>
  </w:style>
  <w:style w:type="paragraph" w:customStyle="1" w:styleId="caret">
    <w:name w:val="caret"/>
    <w:basedOn w:val="a"/>
    <w:pPr>
      <w:spacing w:before="100" w:beforeAutospacing="1" w:after="100" w:afterAutospacing="1"/>
    </w:pPr>
  </w:style>
  <w:style w:type="paragraph" w:customStyle="1" w:styleId="ewsortup">
    <w:name w:val="ewsortup"/>
    <w:basedOn w:val="a"/>
    <w:pPr>
      <w:spacing w:before="100" w:beforeAutospacing="1" w:after="100" w:afterAutospacing="1"/>
    </w:pPr>
  </w:style>
  <w:style w:type="paragraph" w:customStyle="1" w:styleId="ewtablerow">
    <w:name w:val="ewtablerow"/>
    <w:basedOn w:val="a"/>
    <w:pPr>
      <w:spacing w:before="100" w:beforeAutospacing="1" w:after="100" w:afterAutospacing="1"/>
    </w:pPr>
  </w:style>
  <w:style w:type="paragraph" w:customStyle="1" w:styleId="ewtablealtrow">
    <w:name w:val="ewtablealtrow"/>
    <w:basedOn w:val="a"/>
    <w:pPr>
      <w:spacing w:before="100" w:beforeAutospacing="1" w:after="100" w:afterAutospacing="1"/>
    </w:pPr>
  </w:style>
  <w:style w:type="paragraph" w:customStyle="1" w:styleId="ewtableeditrowtd">
    <w:name w:val="ewtableeditrow&gt;td"/>
    <w:basedOn w:val="a"/>
    <w:pPr>
      <w:spacing w:before="100" w:beforeAutospacing="1" w:after="100" w:afterAutospacing="1"/>
    </w:pPr>
  </w:style>
  <w:style w:type="paragraph" w:customStyle="1" w:styleId="ewtablehighlightrowtd">
    <w:name w:val="ewtablehighlightrow&gt;td"/>
    <w:basedOn w:val="a"/>
    <w:pPr>
      <w:spacing w:before="100" w:beforeAutospacing="1" w:after="100" w:afterAutospacing="1"/>
    </w:pPr>
  </w:style>
  <w:style w:type="paragraph" w:customStyle="1" w:styleId="ewtableselectrowtd">
    <w:name w:val="ewtableselectrow&gt;td"/>
    <w:basedOn w:val="a"/>
    <w:pPr>
      <w:spacing w:before="100" w:beforeAutospacing="1" w:after="100" w:afterAutospacing="1"/>
    </w:pPr>
  </w:style>
  <w:style w:type="paragraph" w:customStyle="1" w:styleId="ewtablefooter">
    <w:name w:val="ewtablefooter"/>
    <w:basedOn w:val="a"/>
    <w:pPr>
      <w:spacing w:before="100" w:beforeAutospacing="1" w:after="100" w:afterAutospacing="1"/>
    </w:pPr>
  </w:style>
  <w:style w:type="paragraph" w:customStyle="1" w:styleId="radio-inline">
    <w:name w:val="radio-inline"/>
    <w:basedOn w:val="a"/>
    <w:pPr>
      <w:spacing w:before="100" w:beforeAutospacing="1" w:after="100" w:afterAutospacing="1"/>
    </w:pPr>
  </w:style>
  <w:style w:type="paragraph" w:customStyle="1" w:styleId="list-group-item">
    <w:name w:val="list-group-item"/>
    <w:basedOn w:val="a"/>
    <w:pPr>
      <w:spacing w:before="100" w:beforeAutospacing="1" w:after="100" w:afterAutospacing="1"/>
    </w:pPr>
  </w:style>
  <w:style w:type="paragraph" w:customStyle="1" w:styleId="ui-timepicker-selected">
    <w:name w:val="ui-timepicker-selected"/>
    <w:basedOn w:val="a"/>
    <w:pPr>
      <w:spacing w:before="100" w:beforeAutospacing="1" w:after="100" w:afterAutospacing="1"/>
    </w:pPr>
  </w:style>
  <w:style w:type="paragraph" w:customStyle="1" w:styleId="ewscrollabletableoverhang">
    <w:name w:val="ewscrollabletableoverhang"/>
    <w:basedOn w:val="a"/>
    <w:pPr>
      <w:spacing w:before="100" w:beforeAutospacing="1" w:after="100" w:afterAutospacing="1"/>
    </w:pPr>
  </w:style>
  <w:style w:type="paragraph" w:customStyle="1" w:styleId="navbar">
    <w:name w:val="navbar"/>
    <w:basedOn w:val="a"/>
    <w:pPr>
      <w:spacing w:before="100" w:beforeAutospacing="1" w:after="100" w:afterAutospacing="1"/>
    </w:pPr>
  </w:style>
  <w:style w:type="paragraph" w:customStyle="1" w:styleId="dropdown-menu">
    <w:name w:val="dropdown-menu"/>
    <w:basedOn w:val="a"/>
    <w:pPr>
      <w:spacing w:before="100" w:beforeAutospacing="1" w:after="100" w:afterAutospacing="1"/>
    </w:pPr>
  </w:style>
  <w:style w:type="paragraph" w:customStyle="1" w:styleId="dropdown-menulia">
    <w:name w:val="dropdown-menu&gt;li&gt;a"/>
    <w:basedOn w:val="a"/>
    <w:pPr>
      <w:spacing w:before="100" w:beforeAutospacing="1" w:after="100" w:afterAutospacing="1"/>
    </w:pPr>
  </w:style>
  <w:style w:type="paragraph" w:customStyle="1" w:styleId="alert">
    <w:name w:val="alert"/>
    <w:basedOn w:val="a"/>
    <w:pPr>
      <w:spacing w:before="100" w:beforeAutospacing="1" w:after="100" w:afterAutospacing="1"/>
    </w:pPr>
  </w:style>
  <w:style w:type="paragraph" w:customStyle="1" w:styleId="input-group-btn">
    <w:name w:val="input-group-btn"/>
    <w:basedOn w:val="a"/>
    <w:pPr>
      <w:spacing w:before="100" w:beforeAutospacing="1" w:after="100" w:afterAutospacing="1"/>
    </w:pPr>
  </w:style>
  <w:style w:type="paragraph" w:customStyle="1" w:styleId="icon-arrow-down">
    <w:name w:val="icon-arrow-down"/>
    <w:basedOn w:val="a"/>
    <w:pPr>
      <w:spacing w:before="100" w:beforeAutospacing="1" w:after="100" w:afterAutospacing="1"/>
    </w:pPr>
  </w:style>
  <w:style w:type="paragraph" w:customStyle="1" w:styleId="navbar1">
    <w:name w:val="navbar1"/>
    <w:basedOn w:val="a"/>
    <w:pPr>
      <w:spacing w:before="100" w:beforeAutospacing="1"/>
    </w:pPr>
  </w:style>
  <w:style w:type="paragraph" w:customStyle="1" w:styleId="dropdown-menu1">
    <w:name w:val="dropdown-menu1"/>
    <w:basedOn w:val="a"/>
    <w:pPr>
      <w:spacing w:before="100" w:beforeAutospacing="1" w:after="100" w:afterAutospacing="1"/>
    </w:pPr>
  </w:style>
  <w:style w:type="paragraph" w:customStyle="1" w:styleId="dropdown-menulia1">
    <w:name w:val="dropdown-menu&gt;li&gt;a1"/>
    <w:basedOn w:val="a"/>
    <w:pPr>
      <w:spacing w:before="100" w:beforeAutospacing="1" w:after="100" w:afterAutospacing="1"/>
    </w:pPr>
  </w:style>
  <w:style w:type="paragraph" w:customStyle="1" w:styleId="icon-arrow-down1">
    <w:name w:val="icon-arrow-down1"/>
    <w:basedOn w:val="a"/>
    <w:pPr>
      <w:spacing w:before="100" w:beforeAutospacing="1" w:after="100" w:afterAutospacing="1"/>
      <w:ind w:left="75"/>
    </w:pPr>
  </w:style>
  <w:style w:type="paragraph" w:customStyle="1" w:styleId="breadcrumb1">
    <w:name w:val="breadcrumb1"/>
    <w:basedOn w:val="a"/>
    <w:pPr>
      <w:spacing w:before="100" w:beforeAutospacing="1" w:after="100" w:afterAutospacing="1"/>
      <w:ind w:right="150"/>
      <w:textAlignment w:val="center"/>
    </w:pPr>
  </w:style>
  <w:style w:type="paragraph" w:customStyle="1" w:styleId="ewexportoption1">
    <w:name w:val="ewexportoption1"/>
    <w:basedOn w:val="a"/>
    <w:pPr>
      <w:spacing w:before="100" w:beforeAutospacing="1" w:after="300"/>
      <w:textAlignment w:val="center"/>
    </w:pPr>
  </w:style>
  <w:style w:type="paragraph" w:customStyle="1" w:styleId="ewsearchoption1">
    <w:name w:val="ewsearchoption1"/>
    <w:basedOn w:val="a"/>
    <w:pPr>
      <w:spacing w:before="100" w:beforeAutospacing="1" w:after="300"/>
      <w:textAlignment w:val="center"/>
    </w:pPr>
  </w:style>
  <w:style w:type="paragraph" w:customStyle="1" w:styleId="ewactionoption1">
    <w:name w:val="ewactionoption1"/>
    <w:basedOn w:val="a"/>
    <w:pPr>
      <w:spacing w:before="100" w:beforeAutospacing="1" w:after="300"/>
      <w:textAlignment w:val="center"/>
    </w:pPr>
  </w:style>
  <w:style w:type="paragraph" w:customStyle="1" w:styleId="ewdetailoption1">
    <w:name w:val="ewdetailoption1"/>
    <w:basedOn w:val="a"/>
    <w:pPr>
      <w:spacing w:before="100" w:beforeAutospacing="1" w:after="300"/>
      <w:textAlignment w:val="center"/>
    </w:pPr>
  </w:style>
  <w:style w:type="paragraph" w:customStyle="1" w:styleId="ewfilteroption1">
    <w:name w:val="ewfilteroption1"/>
    <w:basedOn w:val="a"/>
    <w:pPr>
      <w:spacing w:before="100" w:beforeAutospacing="1" w:after="300"/>
      <w:textAlignment w:val="center"/>
    </w:pPr>
  </w:style>
  <w:style w:type="paragraph" w:customStyle="1" w:styleId="ewlanguageoption1">
    <w:name w:val="ewlanguageoption1"/>
    <w:basedOn w:val="a"/>
    <w:pPr>
      <w:spacing w:before="100" w:beforeAutospacing="1" w:after="300"/>
      <w:textAlignment w:val="center"/>
    </w:pPr>
  </w:style>
  <w:style w:type="paragraph" w:customStyle="1" w:styleId="ewdesktopbutton1">
    <w:name w:val="ewdesktopbutton1"/>
    <w:basedOn w:val="a"/>
    <w:pPr>
      <w:spacing w:before="100" w:beforeAutospacing="1" w:after="300"/>
      <w:jc w:val="center"/>
    </w:pPr>
  </w:style>
  <w:style w:type="paragraph" w:customStyle="1" w:styleId="ewgridcontent1">
    <w:name w:val="ewgridcontent1"/>
    <w:basedOn w:val="a"/>
    <w:pPr>
      <w:pBdr>
        <w:top w:val="single" w:sz="6" w:space="0" w:color="4F93E3"/>
        <w:left w:val="single" w:sz="6" w:space="0" w:color="4F93E3"/>
        <w:bottom w:val="single" w:sz="6" w:space="0" w:color="4F93E3"/>
        <w:right w:val="single" w:sz="6" w:space="0" w:color="4F93E3"/>
      </w:pBdr>
      <w:spacing w:before="100" w:beforeAutospacing="1" w:after="100" w:afterAutospacing="1"/>
    </w:pPr>
  </w:style>
  <w:style w:type="paragraph" w:customStyle="1" w:styleId="ewgridupperpanel1">
    <w:name w:val="ewgridupperpanel1"/>
    <w:basedOn w:val="a"/>
    <w:pPr>
      <w:pBdr>
        <w:bottom w:val="single" w:sz="6" w:space="0" w:color="4F93E3"/>
      </w:pBdr>
      <w:spacing w:before="100" w:beforeAutospacing="1" w:after="100" w:afterAutospacing="1"/>
    </w:pPr>
  </w:style>
  <w:style w:type="paragraph" w:customStyle="1" w:styleId="ewtable1">
    <w:name w:val="ewtable1"/>
    <w:basedOn w:val="a"/>
    <w:pPr>
      <w:spacing w:before="100" w:beforeAutospacing="1"/>
    </w:pPr>
  </w:style>
  <w:style w:type="paragraph" w:customStyle="1" w:styleId="ewgridmiddlepanel1">
    <w:name w:val="ewgridmiddlepanel1"/>
    <w:basedOn w:val="a"/>
    <w:pPr>
      <w:spacing w:before="100" w:beforeAutospacing="1"/>
    </w:pPr>
  </w:style>
  <w:style w:type="paragraph" w:customStyle="1" w:styleId="ewgridlowerpanel1">
    <w:name w:val="ewgridlowerpanel1"/>
    <w:basedOn w:val="a"/>
    <w:pPr>
      <w:pBdr>
        <w:top w:val="single" w:sz="6" w:space="0" w:color="BFD3EE"/>
      </w:pBdr>
      <w:spacing w:before="100" w:beforeAutospacing="1" w:after="100" w:afterAutospacing="1"/>
    </w:pPr>
  </w:style>
  <w:style w:type="paragraph" w:customStyle="1" w:styleId="form-group1">
    <w:name w:val="form-group1"/>
    <w:basedOn w:val="a"/>
    <w:pPr>
      <w:spacing w:before="100" w:beforeAutospacing="1" w:after="100" w:afterAutospacing="1"/>
    </w:pPr>
  </w:style>
  <w:style w:type="paragraph" w:customStyle="1" w:styleId="panel-body1">
    <w:name w:val="panel-body1"/>
    <w:basedOn w:val="a"/>
    <w:pPr>
      <w:spacing w:before="100" w:beforeAutospacing="1" w:after="100" w:afterAutospacing="1"/>
    </w:pPr>
  </w:style>
  <w:style w:type="paragraph" w:customStyle="1" w:styleId="pagination1">
    <w:name w:val="pagination1"/>
    <w:basedOn w:val="a"/>
  </w:style>
  <w:style w:type="paragraph" w:customStyle="1" w:styleId="paginationlia1">
    <w:name w:val="pagination&gt;li&gt;a1"/>
    <w:basedOn w:val="a"/>
    <w:pPr>
      <w:spacing w:before="100" w:beforeAutospacing="1" w:after="100" w:afterAutospacing="1"/>
    </w:pPr>
  </w:style>
  <w:style w:type="paragraph" w:customStyle="1" w:styleId="paginationlispan1">
    <w:name w:val="pagination&gt;li&gt;span1"/>
    <w:basedOn w:val="a"/>
    <w:pPr>
      <w:spacing w:before="100" w:beforeAutospacing="1" w:after="100" w:afterAutospacing="1"/>
    </w:pPr>
  </w:style>
  <w:style w:type="paragraph" w:customStyle="1" w:styleId="dropdown-toggle1">
    <w:name w:val="dropdown-toggle1"/>
    <w:basedOn w:val="a"/>
    <w:pPr>
      <w:spacing w:before="100" w:beforeAutospacing="1" w:after="100" w:afterAutospacing="1"/>
    </w:pPr>
  </w:style>
  <w:style w:type="paragraph" w:customStyle="1" w:styleId="form-control-feedback1">
    <w:name w:val="form-control-feedback1"/>
    <w:basedOn w:val="a"/>
    <w:pPr>
      <w:spacing w:before="100" w:beforeAutospacing="1" w:after="100" w:afterAutospacing="1"/>
    </w:pPr>
  </w:style>
  <w:style w:type="paragraph" w:customStyle="1" w:styleId="ewdropdownlistclear1">
    <w:name w:val="ewdropdownlistclear1"/>
    <w:basedOn w:val="a"/>
    <w:pPr>
      <w:spacing w:before="100" w:beforeAutospacing="1" w:after="100" w:afterAutospacing="1"/>
    </w:pPr>
    <w:rPr>
      <w:vanish/>
      <w:color w:val="000000"/>
    </w:rPr>
  </w:style>
  <w:style w:type="paragraph" w:customStyle="1" w:styleId="ewtableheaderbtn1">
    <w:name w:val="ewtableheaderbtn1"/>
    <w:basedOn w:val="a"/>
    <w:pPr>
      <w:spacing w:before="100" w:beforeAutospacing="1" w:after="100" w:afterAutospacing="1"/>
    </w:pPr>
  </w:style>
  <w:style w:type="paragraph" w:customStyle="1" w:styleId="ewtableheadersort1">
    <w:name w:val="ewtableheadersort1"/>
    <w:basedOn w:val="a"/>
    <w:pPr>
      <w:spacing w:after="100" w:afterAutospacing="1"/>
    </w:pPr>
  </w:style>
  <w:style w:type="paragraph" w:customStyle="1" w:styleId="caret1">
    <w:name w:val="caret1"/>
    <w:basedOn w:val="a"/>
    <w:pPr>
      <w:pBdr>
        <w:top w:val="single" w:sz="24" w:space="0" w:color="auto"/>
      </w:pBdr>
      <w:spacing w:before="100" w:beforeAutospacing="1" w:after="100" w:afterAutospacing="1"/>
    </w:pPr>
  </w:style>
  <w:style w:type="paragraph" w:customStyle="1" w:styleId="ewsortup1">
    <w:name w:val="ewsortup1"/>
    <w:basedOn w:val="a"/>
    <w:pPr>
      <w:pBdr>
        <w:bottom w:val="single" w:sz="24" w:space="0" w:color="auto"/>
      </w:pBdr>
      <w:spacing w:before="100" w:beforeAutospacing="1" w:after="100" w:afterAutospacing="1"/>
    </w:pPr>
  </w:style>
  <w:style w:type="paragraph" w:customStyle="1" w:styleId="ewtabletbodytrtd1">
    <w:name w:val="ewtable&gt;tbody&gt;tr&gt;td1"/>
    <w:basedOn w:val="a"/>
    <w:pPr>
      <w:pBdr>
        <w:bottom w:val="single" w:sz="6" w:space="2" w:color="BFD3EE"/>
        <w:right w:val="single" w:sz="6" w:space="2" w:color="BFD3EE"/>
      </w:pBdr>
      <w:spacing w:before="100" w:beforeAutospacing="1" w:after="100" w:afterAutospacing="1"/>
    </w:pPr>
  </w:style>
  <w:style w:type="paragraph" w:customStyle="1" w:styleId="ewtabletfoottrtd1">
    <w:name w:val="ewtable&gt;tfoot&gt;tr&gt;td1"/>
    <w:basedOn w:val="a"/>
    <w:pPr>
      <w:pBdr>
        <w:bottom w:val="single" w:sz="6" w:space="2" w:color="BFD3EE"/>
        <w:right w:val="single" w:sz="6" w:space="2" w:color="BFD3EE"/>
      </w:pBdr>
      <w:spacing w:before="100" w:beforeAutospacing="1" w:after="100" w:afterAutospacing="1"/>
    </w:pPr>
  </w:style>
  <w:style w:type="paragraph" w:customStyle="1" w:styleId="ewtabletheadtrth1">
    <w:name w:val="ewtable&gt;thead&gt;tr&gt;th1"/>
    <w:basedOn w:val="a"/>
    <w:pPr>
      <w:pBdr>
        <w:bottom w:val="single" w:sz="6" w:space="2" w:color="4F93E3"/>
        <w:right w:val="single" w:sz="6" w:space="2" w:color="4F93E3"/>
      </w:pBdr>
      <w:shd w:val="clear" w:color="auto" w:fill="2647A0"/>
      <w:spacing w:before="100" w:beforeAutospacing="1" w:after="100" w:afterAutospacing="1"/>
      <w:textAlignment w:val="top"/>
    </w:pPr>
    <w:rPr>
      <w:color w:val="FFFFFF"/>
    </w:rPr>
  </w:style>
  <w:style w:type="paragraph" w:customStyle="1" w:styleId="ewtabletheadtrtd1">
    <w:name w:val="ewtable&gt;thead&gt;tr&gt;td1"/>
    <w:basedOn w:val="a"/>
    <w:pPr>
      <w:pBdr>
        <w:bottom w:val="single" w:sz="6" w:space="2" w:color="4F93E3"/>
        <w:right w:val="single" w:sz="6" w:space="2" w:color="4F93E3"/>
      </w:pBdr>
      <w:shd w:val="clear" w:color="auto" w:fill="2647A0"/>
      <w:spacing w:before="100" w:beforeAutospacing="1" w:after="100" w:afterAutospacing="1"/>
      <w:textAlignment w:val="top"/>
    </w:pPr>
    <w:rPr>
      <w:color w:val="FFFFFF"/>
    </w:rPr>
  </w:style>
  <w:style w:type="paragraph" w:customStyle="1" w:styleId="caret2">
    <w:name w:val="caret2"/>
    <w:basedOn w:val="a"/>
    <w:pPr>
      <w:pBdr>
        <w:top w:val="single" w:sz="24" w:space="0" w:color="FFFFFF"/>
      </w:pBdr>
      <w:spacing w:before="100" w:beforeAutospacing="1" w:after="100" w:afterAutospacing="1"/>
    </w:pPr>
  </w:style>
  <w:style w:type="paragraph" w:customStyle="1" w:styleId="ewsortup2">
    <w:name w:val="ewsortup2"/>
    <w:basedOn w:val="a"/>
    <w:pPr>
      <w:pBdr>
        <w:bottom w:val="single" w:sz="24" w:space="0" w:color="FFFFFF"/>
      </w:pBdr>
      <w:spacing w:before="100" w:beforeAutospacing="1" w:after="100" w:afterAutospacing="1"/>
    </w:pPr>
  </w:style>
  <w:style w:type="paragraph" w:customStyle="1" w:styleId="ewtablerow1">
    <w:name w:val="ewtablerow1"/>
    <w:basedOn w:val="a"/>
    <w:pPr>
      <w:shd w:val="clear" w:color="auto" w:fill="FFFFFF"/>
      <w:spacing w:before="100" w:beforeAutospacing="1" w:after="100" w:afterAutospacing="1"/>
    </w:pPr>
  </w:style>
  <w:style w:type="paragraph" w:customStyle="1" w:styleId="ewtablealtrow1">
    <w:name w:val="ewtablealtrow1"/>
    <w:basedOn w:val="a"/>
    <w:pPr>
      <w:shd w:val="clear" w:color="auto" w:fill="EDF5FF"/>
      <w:spacing w:before="100" w:beforeAutospacing="1" w:after="100" w:afterAutospacing="1"/>
    </w:pPr>
  </w:style>
  <w:style w:type="paragraph" w:customStyle="1" w:styleId="ewtableeditrowtd1">
    <w:name w:val="ewtableeditrow&gt;td1"/>
    <w:basedOn w:val="a"/>
    <w:pPr>
      <w:shd w:val="clear" w:color="auto" w:fill="FFFF99"/>
      <w:spacing w:before="100" w:beforeAutospacing="1" w:after="100" w:afterAutospacing="1"/>
    </w:pPr>
  </w:style>
  <w:style w:type="paragraph" w:customStyle="1" w:styleId="ewtablehighlightrowtd1">
    <w:name w:val="ewtablehighlightrow&gt;td1"/>
    <w:basedOn w:val="a"/>
    <w:pPr>
      <w:shd w:val="clear" w:color="auto" w:fill="FFFFCC"/>
      <w:spacing w:before="100" w:beforeAutospacing="1" w:after="100" w:afterAutospacing="1"/>
    </w:pPr>
  </w:style>
  <w:style w:type="paragraph" w:customStyle="1" w:styleId="ewtableselectrowtd1">
    <w:name w:val="ewtableselectrow&gt;td1"/>
    <w:basedOn w:val="a"/>
    <w:pPr>
      <w:shd w:val="clear" w:color="auto" w:fill="8D8D8D"/>
      <w:spacing w:before="100" w:beforeAutospacing="1" w:after="100" w:afterAutospacing="1"/>
    </w:pPr>
    <w:rPr>
      <w:color w:val="FFFFFF"/>
    </w:rPr>
  </w:style>
  <w:style w:type="paragraph" w:customStyle="1" w:styleId="ewtablefooter1">
    <w:name w:val="ewtablefooter1"/>
    <w:basedOn w:val="a"/>
    <w:pPr>
      <w:shd w:val="clear" w:color="auto" w:fill="D4E7FD"/>
      <w:spacing w:before="100" w:beforeAutospacing="1" w:after="100" w:afterAutospacing="1"/>
    </w:pPr>
  </w:style>
  <w:style w:type="paragraph" w:customStyle="1" w:styleId="btn-sm1">
    <w:name w:val="btn-sm1"/>
    <w:basedOn w:val="a"/>
    <w:pPr>
      <w:spacing w:before="100" w:beforeAutospacing="1" w:after="100" w:afterAutospacing="1"/>
    </w:pPr>
  </w:style>
  <w:style w:type="paragraph" w:customStyle="1" w:styleId="ewgrid1">
    <w:name w:val="ewgrid1"/>
    <w:basedOn w:val="a"/>
    <w:pPr>
      <w:pBdr>
        <w:top w:val="single" w:sz="6" w:space="0" w:color="4F93E3"/>
        <w:left w:val="single" w:sz="6" w:space="0" w:color="4F93E3"/>
        <w:bottom w:val="single" w:sz="6" w:space="0" w:color="4F93E3"/>
        <w:right w:val="single" w:sz="6" w:space="0" w:color="4F93E3"/>
      </w:pBdr>
      <w:spacing w:before="100" w:beforeAutospacing="1"/>
    </w:pPr>
  </w:style>
  <w:style w:type="paragraph" w:customStyle="1" w:styleId="ewdetailcount1">
    <w:name w:val="ewdetailcount1"/>
    <w:basedOn w:val="a"/>
    <w:pPr>
      <w:spacing w:before="100" w:beforeAutospacing="1" w:after="300"/>
    </w:pPr>
  </w:style>
  <w:style w:type="paragraph" w:customStyle="1" w:styleId="ewtableheader1">
    <w:name w:val="ewtableheader1"/>
    <w:basedOn w:val="a"/>
    <w:pPr>
      <w:pBdr>
        <w:bottom w:val="single" w:sz="6" w:space="0" w:color="4F93E3"/>
        <w:right w:val="single" w:sz="6" w:space="0" w:color="4F93E3"/>
      </w:pBdr>
      <w:shd w:val="clear" w:color="auto" w:fill="2647A0"/>
      <w:spacing w:before="100" w:beforeAutospacing="1" w:after="100" w:afterAutospacing="1"/>
      <w:textAlignment w:val="top"/>
    </w:pPr>
    <w:rPr>
      <w:color w:val="FFFFFF"/>
    </w:rPr>
  </w:style>
  <w:style w:type="paragraph" w:customStyle="1" w:styleId="ewcell1">
    <w:name w:val="ewcell1"/>
    <w:basedOn w:val="a"/>
    <w:pPr>
      <w:spacing w:before="100" w:beforeAutospacing="1" w:after="100" w:afterAutospacing="1"/>
    </w:pPr>
  </w:style>
  <w:style w:type="paragraph" w:customStyle="1" w:styleId="ewsearchcond1">
    <w:name w:val="ewsearchcond1"/>
    <w:basedOn w:val="a"/>
    <w:pPr>
      <w:spacing w:before="100" w:beforeAutospacing="1" w:after="100" w:afterAutospacing="1"/>
    </w:pPr>
  </w:style>
  <w:style w:type="paragraph" w:customStyle="1" w:styleId="alert1">
    <w:name w:val="alert1"/>
    <w:basedOn w:val="a"/>
    <w:pPr>
      <w:spacing w:before="100" w:beforeAutospacing="1" w:after="100" w:afterAutospacing="1"/>
    </w:pPr>
  </w:style>
  <w:style w:type="paragraph" w:customStyle="1" w:styleId="ewitemtable1">
    <w:name w:val="ewitemtable1"/>
    <w:basedOn w:val="a"/>
    <w:pPr>
      <w:spacing w:after="180"/>
      <w:ind w:left="90" w:right="180"/>
    </w:pPr>
  </w:style>
  <w:style w:type="paragraph" w:customStyle="1" w:styleId="list-group1">
    <w:name w:val="list-group1"/>
    <w:basedOn w:val="a"/>
    <w:pPr>
      <w:spacing w:before="100" w:beforeAutospacing="1" w:after="60"/>
    </w:pPr>
  </w:style>
  <w:style w:type="paragraph" w:customStyle="1" w:styleId="radio-inline1">
    <w:name w:val="radio-inline1"/>
    <w:basedOn w:val="a"/>
    <w:pPr>
      <w:spacing w:before="100" w:beforeAutospacing="1" w:after="100" w:afterAutospacing="1"/>
    </w:pPr>
  </w:style>
  <w:style w:type="paragraph" w:customStyle="1" w:styleId="list-group-item1">
    <w:name w:val="list-group-item1"/>
    <w:basedOn w:val="a"/>
    <w:pPr>
      <w:spacing w:before="100" w:beforeAutospacing="1" w:after="100" w:afterAutospacing="1"/>
    </w:pPr>
  </w:style>
  <w:style w:type="paragraph" w:customStyle="1" w:styleId="ui-timepicker-selected1">
    <w:name w:val="ui-timepicker-selected1"/>
    <w:basedOn w:val="a"/>
    <w:pPr>
      <w:shd w:val="clear" w:color="auto" w:fill="337AB7"/>
      <w:spacing w:before="100" w:beforeAutospacing="1" w:after="100" w:afterAutospacing="1"/>
    </w:pPr>
  </w:style>
  <w:style w:type="paragraph" w:customStyle="1" w:styleId="ewcustomtemplate1">
    <w:name w:val="ewcustomtemplate1"/>
    <w:basedOn w:val="a"/>
    <w:pPr>
      <w:spacing w:before="100" w:beforeAutospacing="1"/>
    </w:pPr>
  </w:style>
  <w:style w:type="paragraph" w:customStyle="1" w:styleId="input-group-btn1">
    <w:name w:val="input-group-btn1"/>
    <w:basedOn w:val="a"/>
    <w:pPr>
      <w:spacing w:before="100" w:beforeAutospacing="1" w:after="100" w:afterAutospacing="1"/>
    </w:pPr>
  </w:style>
  <w:style w:type="paragraph" w:customStyle="1" w:styleId="ewscrollabletableoverhang1">
    <w:name w:val="ewscrollabletableoverhang1"/>
    <w:basedOn w:val="a"/>
    <w:pPr>
      <w:pBdr>
        <w:bottom w:val="single" w:sz="6" w:space="0" w:color="4F93E3"/>
      </w:pBdr>
      <w:shd w:val="clear" w:color="auto" w:fill="2647A0"/>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Documents\view_sanadhoview.php%3fshowdetail=&amp;sanadID=544&amp;languag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4604</Words>
  <Characters>26245</Characters>
  <Application>Microsoft Office Word</Application>
  <DocSecurity>0</DocSecurity>
  <Lines>218</Lines>
  <Paragraphs>61</Paragraphs>
  <ScaleCrop>false</ScaleCrop>
  <Company/>
  <LinksUpToDate>false</LinksUpToDate>
  <CharactersWithSpaces>30788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2018-10-30T05:29:00Z</dcterms:created>
  <dcterms:modified xsi:type="dcterms:W3CDTF">2018-10-30T05:29:00Z</dcterms:modified>
</cp:coreProperties>
</file>