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47E0">
      <w:pPr>
        <w:pStyle w:val="a3"/>
      </w:pPr>
      <w:r>
        <w:t> </w:t>
      </w:r>
    </w:p>
    <w:p w:rsidR="00000000" w:rsidRDefault="008847E0">
      <w:pPr>
        <w:pStyle w:val="a3"/>
        <w:jc w:val="right"/>
      </w:pPr>
      <w:r>
        <w:t>Приложение 1</w:t>
      </w:r>
    </w:p>
    <w:p w:rsidR="00000000" w:rsidRDefault="008847E0">
      <w:pPr>
        <w:pStyle w:val="a3"/>
        <w:jc w:val="right"/>
      </w:pPr>
      <w:r>
        <w:t>к постановлению Правительства</w:t>
      </w:r>
    </w:p>
    <w:p w:rsidR="00000000" w:rsidRDefault="008847E0">
      <w:pPr>
        <w:pStyle w:val="a3"/>
        <w:jc w:val="right"/>
      </w:pPr>
      <w:r>
        <w:t>Республики Таджикистан</w:t>
      </w:r>
    </w:p>
    <w:p w:rsidR="00000000" w:rsidRDefault="008847E0">
      <w:pPr>
        <w:pStyle w:val="a3"/>
        <w:jc w:val="right"/>
      </w:pPr>
      <w:hyperlink r:id="rId5" w:tgtFrame="_blank" w:history="1">
        <w:r>
          <w:rPr>
            <w:rStyle w:val="a4"/>
          </w:rPr>
          <w:t>от 25 января 2017 года, № 28</w:t>
        </w:r>
      </w:hyperlink>
    </w:p>
    <w:p w:rsidR="00000000" w:rsidRDefault="008847E0">
      <w:pPr>
        <w:pStyle w:val="a3"/>
      </w:pPr>
      <w:r>
        <w:t> </w:t>
      </w:r>
    </w:p>
    <w:p w:rsidR="00000000" w:rsidRDefault="008847E0">
      <w:pPr>
        <w:pStyle w:val="a3"/>
        <w:jc w:val="center"/>
      </w:pPr>
      <w:r>
        <w:rPr>
          <w:rStyle w:val="a6"/>
        </w:rPr>
        <w:t>КОНЦЕПЦИЯ НЕПРЕРЫВНОГО ОБРАЗОВАНИЯ В РЕСПУБЛИКЕ ТАДЖИКИСТАН</w:t>
      </w:r>
    </w:p>
    <w:p w:rsidR="00000000" w:rsidRDefault="008847E0">
      <w:pPr>
        <w:pStyle w:val="a3"/>
        <w:jc w:val="center"/>
      </w:pPr>
      <w:r>
        <w:rPr>
          <w:rStyle w:val="a6"/>
        </w:rPr>
        <w:t> </w:t>
      </w:r>
      <w:r>
        <w:rPr>
          <w:rStyle w:val="a6"/>
        </w:rPr>
        <w:t>НА 2017-2023 ГОДЫ</w:t>
      </w:r>
    </w:p>
    <w:p w:rsidR="00000000" w:rsidRDefault="008847E0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8847E0">
      <w:pPr>
        <w:pStyle w:val="4"/>
        <w:rPr>
          <w:rFonts w:eastAsia="Times New Roman"/>
        </w:rPr>
      </w:pPr>
      <w:r>
        <w:rPr>
          <w:rFonts w:eastAsia="Times New Roman"/>
        </w:rPr>
        <w:t>1. ВВЕДЕНИЕ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Концепция непрерывного образования в Республике Таджикистан на 2017-2023 годы (далее - Концепция) разработана на основе Конституции Республики Таджикистан, статьи 6 Закона Республики Таджикистан "О государственных прогноза</w:t>
      </w:r>
      <w:r>
        <w:rPr>
          <w:rFonts w:eastAsia="Times New Roman"/>
        </w:rPr>
        <w:t>х, концепциях и программах социально-экономического развития Республики Таджикистан" и требований пункта 21 Плана мероприятий по выполнению задач, упомянутых в Послании Президента Республики Таджикистан Маджлиси Оли Республики Таджикистан от 20 января 2016</w:t>
      </w:r>
      <w:r>
        <w:rPr>
          <w:rFonts w:eastAsia="Times New Roman"/>
        </w:rPr>
        <w:t xml:space="preserve"> года, который утвержден постановлением Правительства Республики Таджикистан от 9 февраля 2016 года, №42.</w:t>
      </w:r>
    </w:p>
    <w:p w:rsidR="00000000" w:rsidRDefault="008847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Как известно, достижение уровня экономического и социального развития является стратегическим ориентиром социально-экономического развития на долгосро</w:t>
      </w:r>
      <w:r>
        <w:rPr>
          <w:rFonts w:eastAsia="Times New Roman"/>
        </w:rPr>
        <w:t>чную и среднесрочную перспективу, соответствующим статусу Республики Таджикистан как государства, занимающим определенные позиции в мировой экономике, обеспечивающим национальную безопасность и реализацию конституционных прав граждан.</w:t>
      </w:r>
    </w:p>
    <w:p w:rsidR="00000000" w:rsidRDefault="008847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Системное достижение </w:t>
      </w:r>
      <w:r>
        <w:rPr>
          <w:rFonts w:eastAsia="Times New Roman"/>
        </w:rPr>
        <w:t>поставленной цели состоит в переходе экономики Республики Таджикистан к инновационному типу развития. Это позволит резко расширить потенциал экономики Республики Таджикистан за счет наращивания ее сравнительных преимуществ в науке, образовании и высоких те</w:t>
      </w:r>
      <w:r>
        <w:rPr>
          <w:rFonts w:eastAsia="Times New Roman"/>
        </w:rPr>
        <w:t>хнологиях и на этой основе использовать новые источники экономического роста и повышения благосостояния. Формирование инновационной экономики означает превращение интеллекта, творческого потенциала человека в ведущий фактор экономического роста и конкурент</w:t>
      </w:r>
      <w:r>
        <w:rPr>
          <w:rFonts w:eastAsia="Times New Roman"/>
        </w:rPr>
        <w:t>оспособности, наряду со значительным повышением эффективности использования природных ресурсов и производственного капитала.</w:t>
      </w:r>
    </w:p>
    <w:p w:rsidR="00000000" w:rsidRDefault="008847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Важнейшей составляющей инновационной экономики является формирование эффективно функционирующего рынка труда. Развитие рынка труда </w:t>
      </w:r>
      <w:r>
        <w:rPr>
          <w:rFonts w:eastAsia="Times New Roman"/>
        </w:rPr>
        <w:t>в долгосрочной перспективе будет формироваться за счет повышения трудовой мобильности населения и роста уровня производительности труда. Все это предъявляет новые требования к системе непрерывного образования в Республике Таджикистан.</w:t>
      </w:r>
    </w:p>
    <w:p w:rsidR="00000000" w:rsidRDefault="008847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Одной из фундаменталь</w:t>
      </w:r>
      <w:r>
        <w:rPr>
          <w:rFonts w:eastAsia="Times New Roman"/>
        </w:rPr>
        <w:t>ных основ инновационного развития, является обеспечение доступности качественных услуг образования, переход от системы массового образования к необходимому для создания инновационной социально-ориентированной экономики непрерывному индивидуализированному о</w:t>
      </w:r>
      <w:r>
        <w:rPr>
          <w:rFonts w:eastAsia="Times New Roman"/>
        </w:rPr>
        <w:t>бразованию для всех.</w:t>
      </w:r>
    </w:p>
    <w:p w:rsidR="00000000" w:rsidRDefault="008847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Настоящая Концепция исходит из закрепленного международными нормативно-правовыми актами, признанными Республикой Таджикистан, основополагающего права человека на обучение в течение всей жизни, учитывает современное состояние и тенденци</w:t>
      </w:r>
      <w:r>
        <w:rPr>
          <w:rFonts w:eastAsia="Times New Roman"/>
        </w:rPr>
        <w:t>и социально-экономического развития Республики Таджикистан, ориентируется и опирается на идею открытого образования и положения законодательства Республики Таджикистан в сфере образования. Концепция направлена на формирование государственной политики в обл</w:t>
      </w:r>
      <w:r>
        <w:rPr>
          <w:rFonts w:eastAsia="Times New Roman"/>
        </w:rPr>
        <w:t>асти непрерывного образования и на создание гибкой, разнообразной по направлениям и уровням системы образования взрослых, отвечающей интересам всех категорий трудоспособных граждан Республики Таджикистан и соответствующей задачам формирования общества, осн</w:t>
      </w:r>
      <w:r>
        <w:rPr>
          <w:rFonts w:eastAsia="Times New Roman"/>
        </w:rPr>
        <w:t>ованного на знаниях.</w:t>
      </w:r>
    </w:p>
    <w:p w:rsidR="00000000" w:rsidRDefault="008847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непрерывного образования предполагает формирование активных граждан и их профессиональную и личностную самореализацию в интересах повышения конкурентоспособности национальной экономики и обеспечения социального единства общест</w:t>
      </w:r>
      <w:r>
        <w:rPr>
          <w:rFonts w:eastAsia="Times New Roman"/>
        </w:rPr>
        <w:t>ва.</w:t>
      </w:r>
    </w:p>
    <w:p w:rsidR="00000000" w:rsidRDefault="008847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Реализация настоящей Концепции опирается на действующую структуру образования в Республике Таджикистан, которая способствует внедрению непрерывного образования.</w:t>
      </w:r>
    </w:p>
    <w:p w:rsidR="00000000" w:rsidRDefault="008847E0">
      <w:pPr>
        <w:pStyle w:val="a3"/>
      </w:pPr>
      <w:r>
        <w:t>В стране сегодня осуществляют свою деятельность следующие типы образовательных учреждений (</w:t>
      </w:r>
      <w:r>
        <w:t>статистика конца 2015 г.):</w:t>
      </w:r>
    </w:p>
    <w:p w:rsidR="00000000" w:rsidRDefault="008847E0">
      <w:pPr>
        <w:pStyle w:val="a3"/>
      </w:pPr>
      <w:r>
        <w:t>- дошкольные (578 учреждений с охватом 92024 человек; центры развития детей - 1588 учреждений с охватом 39789 человек);</w:t>
      </w:r>
    </w:p>
    <w:p w:rsidR="00000000" w:rsidRDefault="008847E0">
      <w:pPr>
        <w:pStyle w:val="a3"/>
      </w:pPr>
      <w:r>
        <w:t>- общее образование (начальное, общее основное, общее среднее 3855 учреждений с охватом 1785763 человек);</w:t>
      </w:r>
    </w:p>
    <w:p w:rsidR="00000000" w:rsidRDefault="008847E0">
      <w:pPr>
        <w:pStyle w:val="a3"/>
      </w:pPr>
      <w:r>
        <w:t>- н</w:t>
      </w:r>
      <w:r>
        <w:t>ачальное профессиональное образование (62 учреждения с охватом 26973 человек);</w:t>
      </w:r>
    </w:p>
    <w:p w:rsidR="00000000" w:rsidRDefault="008847E0">
      <w:pPr>
        <w:pStyle w:val="a3"/>
      </w:pPr>
      <w:r>
        <w:t>- среднее профессиональное образование (65 учреждений с охватом 68325 человек);</w:t>
      </w:r>
    </w:p>
    <w:p w:rsidR="00000000" w:rsidRDefault="008847E0">
      <w:pPr>
        <w:pStyle w:val="a3"/>
      </w:pPr>
      <w:r>
        <w:t>- высшее профессиональное образование (38 учреждений с охватом 184401 человек);</w:t>
      </w:r>
    </w:p>
    <w:p w:rsidR="00000000" w:rsidRDefault="008847E0">
      <w:pPr>
        <w:pStyle w:val="a3"/>
      </w:pPr>
      <w:r>
        <w:t>- профессионально</w:t>
      </w:r>
      <w:r>
        <w:t>е образование после высшего образовательного учреждения (с охватом 2633 аспиранта, докторанта PhD и докторанта);</w:t>
      </w:r>
    </w:p>
    <w:p w:rsidR="00000000" w:rsidRDefault="008847E0">
      <w:pPr>
        <w:pStyle w:val="a3"/>
      </w:pPr>
      <w:r>
        <w:t>- дополнительное образование (82 центра с 1421 кружок и охватом 47528 человека).</w:t>
      </w:r>
    </w:p>
    <w:p w:rsidR="00000000" w:rsidRDefault="008847E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Одновременно в стране существуют и другие образовательные учреждения, осуществляющие процесс обучения и воспитания. В том числе, действуют центры обучения взрослых, институты и центры повышения квалификации, краткосрочные курсы обучения профессий, изучения</w:t>
      </w:r>
      <w:r>
        <w:rPr>
          <w:rFonts w:eastAsia="Times New Roman"/>
        </w:rPr>
        <w:t xml:space="preserve"> языков, информационных технологий и т.д., которые охватывают определенное количество граждан. За пределами страны обучается 12755 граждан Республики Таджикистан.</w:t>
      </w:r>
    </w:p>
    <w:p w:rsidR="00000000" w:rsidRDefault="008847E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разработки программ непрерывного образования и профессиональных стандартов непрерывного о</w:t>
      </w:r>
      <w:r>
        <w:rPr>
          <w:rFonts w:eastAsia="Times New Roman"/>
        </w:rPr>
        <w:t>бразования могут содействовать Республиканский учебно-методический центр Министерства образования и науки Республики Таджикистан, а для аккредитации и рейтинговой оценки программ непрерывного образования - Государственная служба по надзору в сфере образова</w:t>
      </w:r>
      <w:r>
        <w:rPr>
          <w:rFonts w:eastAsia="Times New Roman"/>
        </w:rPr>
        <w:t>ния. Другие необходимые, но не существующие структуры по непрерывному образованию, будут созданы в рамках реализации данной Концепции.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pStyle w:val="4"/>
        <w:rPr>
          <w:rFonts w:eastAsia="Times New Roman"/>
        </w:rPr>
      </w:pPr>
      <w:r>
        <w:rPr>
          <w:rFonts w:eastAsia="Times New Roman"/>
        </w:rPr>
        <w:t>2. ОБЩИЕ ПОЛОЖЕНИЯ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Нормативно-правовую основу данной Концепции составляют законы Республики Таджикистан "О государств</w:t>
      </w:r>
      <w:r>
        <w:rPr>
          <w:rFonts w:eastAsia="Times New Roman"/>
        </w:rPr>
        <w:t>енной стратегии, концепций, стратегий и программ", "Об образовании", "О высшем и послевузовском профессиональном образовании", "О начальном профессиональном образовании", "О среднем профессиональном образовании", "О дополнительном образовании", "О подготов</w:t>
      </w:r>
      <w:r>
        <w:rPr>
          <w:rFonts w:eastAsia="Times New Roman"/>
        </w:rPr>
        <w:t>ке специалистов с учётом требований рынка труда".</w:t>
      </w:r>
    </w:p>
    <w:p w:rsidR="00000000" w:rsidRDefault="008847E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Настоящая Концепция опирается на требования Программы инновационного развития Республики Таджикистан на 2011-2020 гг." (постановление Правительства Республики Таджикистан от 30 апреля 2011 года, №227), Наци</w:t>
      </w:r>
      <w:r>
        <w:rPr>
          <w:rFonts w:eastAsia="Times New Roman"/>
        </w:rPr>
        <w:t>ональной стратегии развития образования Республики Таджикистан до 2020 г. (постановление Правительства Республики Таджикистан от 30 июня 2012 года, №334), Государственной программы реформы и развития сферы начального и среднего профессионального образовани</w:t>
      </w:r>
      <w:r>
        <w:rPr>
          <w:rFonts w:eastAsia="Times New Roman"/>
        </w:rPr>
        <w:t>я на 2012-2020 гг. (постановление Правительства Республики Таджикистан от 30 апреля 2012 года, №200), Программы развития профессиональной ориентации в Республике Таджикистан на 2016-2020 гг. (постановление Правительства Республики Таджикистан от 30 декабря</w:t>
      </w:r>
      <w:r>
        <w:rPr>
          <w:rFonts w:eastAsia="Times New Roman"/>
        </w:rPr>
        <w:t xml:space="preserve"> 2015 года, №794) и других государственных отраслевых стратегий, концепций, программ и соответствующих нормативно-правовых актов.</w:t>
      </w:r>
    </w:p>
    <w:p w:rsidR="00000000" w:rsidRDefault="008847E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составлении данной Концепции учтены общие требования следующих международных юридических актов: Обучение в течение всей жи</w:t>
      </w:r>
      <w:r>
        <w:rPr>
          <w:rFonts w:eastAsia="Times New Roman"/>
        </w:rPr>
        <w:t>зни. Политики и стратегии. (ЮНЕСКО, Доклад Института обучения в течение всей жизни, 2014 г.); Квалифицированная рабочая сила - основа интенсивного, устойчивого и сбалансированного роста. Группа двадцати: стратегия в области профессиональной подготовки кадр</w:t>
      </w:r>
      <w:r>
        <w:rPr>
          <w:rFonts w:eastAsia="Times New Roman"/>
        </w:rPr>
        <w:t>ов (Доклад Международной организации труда, ООН, 2011 г.); Обучение в течение всей жизни для взрослых (Доклад Организации по экономическому сотрудничеству и развитию, 2013 г.); Декларация Всемирного образовательного форума ЮНЕСКО, 19-25 мая 2015 года, Инчх</w:t>
      </w:r>
      <w:r>
        <w:rPr>
          <w:rFonts w:eastAsia="Times New Roman"/>
        </w:rPr>
        <w:t>он (Республика Корея) и т.д.</w:t>
      </w:r>
    </w:p>
    <w:p w:rsidR="00000000" w:rsidRDefault="008847E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Основные понятия, используемые в Концепции:</w:t>
      </w:r>
    </w:p>
    <w:p w:rsidR="00000000" w:rsidRDefault="008847E0">
      <w:pPr>
        <w:pStyle w:val="a3"/>
      </w:pPr>
      <w:r>
        <w:t>- сетевая программа непрерывного образования - программа непрерывного образования, реализуемая совместно двумя и более организациями;</w:t>
      </w:r>
    </w:p>
    <w:p w:rsidR="00000000" w:rsidRDefault="008847E0">
      <w:pPr>
        <w:pStyle w:val="a3"/>
      </w:pPr>
      <w:r>
        <w:t>- зачетная единица - мера трудоемкости образовате</w:t>
      </w:r>
      <w:r>
        <w:t>льной программы или образовательного модуля;</w:t>
      </w:r>
    </w:p>
    <w:p w:rsidR="00000000" w:rsidRDefault="008847E0">
      <w:pPr>
        <w:pStyle w:val="a3"/>
      </w:pPr>
      <w:r>
        <w:t>- инфраструктуры непрерывного образования - единые для всей сферы непрерывного образования нормы, правила, общедоступные ресурсы;</w:t>
      </w:r>
    </w:p>
    <w:p w:rsidR="00000000" w:rsidRDefault="008847E0">
      <w:pPr>
        <w:pStyle w:val="a3"/>
      </w:pPr>
      <w:r>
        <w:t>- образовательный модуль - часть образовательной программы или учебной дисциплины</w:t>
      </w:r>
      <w:r>
        <w:t>, имеющая определенную логическую завершенность по отношению к установленным целям и результатам обучения;</w:t>
      </w:r>
    </w:p>
    <w:p w:rsidR="00000000" w:rsidRDefault="008847E0">
      <w:pPr>
        <w:pStyle w:val="a3"/>
      </w:pPr>
      <w:r>
        <w:t>- результаты обучения - усвоенные знания и навыки, освоенные компетенции;</w:t>
      </w:r>
    </w:p>
    <w:p w:rsidR="00000000" w:rsidRDefault="008847E0">
      <w:pPr>
        <w:pStyle w:val="a3"/>
      </w:pPr>
      <w:r>
        <w:t>- компетенция - способность человека самостоятельно применять знания и навы</w:t>
      </w:r>
      <w:r>
        <w:t>ки в меняющемся трудовом контексте;</w:t>
      </w:r>
    </w:p>
    <w:p w:rsidR="00000000" w:rsidRDefault="008847E0">
      <w:pPr>
        <w:pStyle w:val="a3"/>
      </w:pPr>
      <w:r>
        <w:t>- квалификационный уровень - совокупность требований к уровню знаний, навыков и компетенций работника;</w:t>
      </w:r>
    </w:p>
    <w:p w:rsidR="00000000" w:rsidRDefault="008847E0">
      <w:pPr>
        <w:pStyle w:val="a3"/>
      </w:pPr>
      <w:r>
        <w:t>- сертификация квалификаций - процесс, посредством которого подтверждается соответствие знаний, навыков и компетенций</w:t>
      </w:r>
      <w:r>
        <w:t xml:space="preserve"> работника квалификационным требованиям;</w:t>
      </w:r>
    </w:p>
    <w:p w:rsidR="00000000" w:rsidRDefault="008847E0">
      <w:pPr>
        <w:pStyle w:val="a3"/>
      </w:pPr>
      <w:r>
        <w:t>- сфера непрерывного образования - совокупность нормативных актов, образовательных программ и модулей, учебных заведений и организаций, ресурсных и сертификационных центров, других субъектов и объектов, имеющих непо</w:t>
      </w:r>
      <w:r>
        <w:t>средственное отношение к непрерывному образованию; профессиональный стандарт - нормативный документ, утвержденный в порядке, определяемом Правительством Республики Таджикистан, отражающий требования к работникам по квалификационным уровням с учетом обеспеч</w:t>
      </w:r>
      <w:r>
        <w:t>ения качества, эффективности и безопасности выполняемых работ;</w:t>
      </w:r>
    </w:p>
    <w:p w:rsidR="00000000" w:rsidRDefault="008847E0">
      <w:pPr>
        <w:pStyle w:val="a3"/>
      </w:pPr>
      <w:r>
        <w:t>- квалификация - подготовленность работника к выполнению трудовых функций, включающая знания, навыки, компетенции;</w:t>
      </w:r>
    </w:p>
    <w:p w:rsidR="00000000" w:rsidRDefault="008847E0">
      <w:pPr>
        <w:pStyle w:val="a3"/>
      </w:pPr>
      <w:r>
        <w:t>- спонтанное (информальное) обучение - обучение, осуществляемое в ходе повседн</w:t>
      </w:r>
      <w:r>
        <w:t>евной жизнедеятельности человека, связанной с его работой, жизнью в семье или проведением досуга не структурированное в плане целей, продолжительности и помощи в обучении; самообразование;</w:t>
      </w:r>
    </w:p>
    <w:p w:rsidR="00000000" w:rsidRDefault="008847E0">
      <w:pPr>
        <w:pStyle w:val="a3"/>
      </w:pPr>
      <w:r>
        <w:t>- неформальное образование - образование, структурированное в плане</w:t>
      </w:r>
      <w:r>
        <w:t xml:space="preserve"> целей, продолжительности и помощи в обучении, но не завершающееся выдачей документа об образовании;</w:t>
      </w:r>
    </w:p>
    <w:p w:rsidR="00000000" w:rsidRDefault="008847E0">
      <w:pPr>
        <w:pStyle w:val="a3"/>
      </w:pPr>
      <w:r>
        <w:t>- образование взрослых - комплекс процессов образования, с помощью которого взрослые развивают свои способности и знания, повышают уровень профессиональной</w:t>
      </w:r>
      <w:r>
        <w:t xml:space="preserve"> и технической специализации или выбирают новое направление;</w:t>
      </w:r>
    </w:p>
    <w:p w:rsidR="00000000" w:rsidRDefault="008847E0">
      <w:pPr>
        <w:pStyle w:val="a3"/>
      </w:pPr>
      <w:r>
        <w:t>- базовое профессиональное образование - необходимое для полноценного вступления в трудовую деятельность профессиональное образование всех уровней, в отношении которых действуют государственные о</w:t>
      </w:r>
      <w:r>
        <w:t>бразовательные стандарты;</w:t>
      </w:r>
    </w:p>
    <w:p w:rsidR="00000000" w:rsidRDefault="008847E0">
      <w:pPr>
        <w:pStyle w:val="a3"/>
      </w:pPr>
      <w:r>
        <w:t>- непрерывное образование - получение образования на протяжении всей жизни и совершенствование знаний и мировоззрения. Для целей данной концепции под непрерывным образованием понимается формальное дополнительное образование и нефо</w:t>
      </w:r>
      <w:r>
        <w:t>рмальное дополнительное образование, а также спонтанное обучение работников и учащихся, обеспечивающее оперативное обновление востребованных рынком труда компетенций;</w:t>
      </w:r>
    </w:p>
    <w:p w:rsidR="00000000" w:rsidRDefault="008847E0">
      <w:pPr>
        <w:pStyle w:val="a3"/>
      </w:pPr>
      <w:r>
        <w:t>- формальное образование - образование, структурированное в плане целей, продолжительност</w:t>
      </w:r>
      <w:r>
        <w:t>и и помощи в обучении и завершающееся выдачей документа об образовании;</w:t>
      </w:r>
    </w:p>
    <w:p w:rsidR="00000000" w:rsidRDefault="008847E0">
      <w:pPr>
        <w:pStyle w:val="a3"/>
      </w:pPr>
      <w:r>
        <w:t>- ИКТ - информационно-коммуникационные технологии;</w:t>
      </w:r>
    </w:p>
    <w:p w:rsidR="00000000" w:rsidRDefault="008847E0">
      <w:pPr>
        <w:pStyle w:val="a3"/>
      </w:pPr>
      <w:r>
        <w:t>- национальная рамка квалификаций - инструмент для сопоставления квалификаций, основанный на системе критериев их оценки.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pStyle w:val="4"/>
        <w:rPr>
          <w:rFonts w:eastAsia="Times New Roman"/>
        </w:rPr>
      </w:pPr>
      <w:r>
        <w:rPr>
          <w:rFonts w:eastAsia="Times New Roman"/>
        </w:rPr>
        <w:t>3. ЦЕЛЬ И ЗАДАЧИ КОНЦЕПЦИИ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Уровень конкурентоспособности современной инновационной экономики все в большей степени определяется качеством профессиональных кадров, уровнем их социализации и кооперационности. Необходимым условием формирования инновационной</w:t>
      </w:r>
      <w:r>
        <w:rPr>
          <w:rFonts w:eastAsia="Times New Roman"/>
        </w:rPr>
        <w:t xml:space="preserve"> экономики любого государства также является создание системы постоянного обновления знаний и компетенций работников. Внедрение в экономике современных наукоемких технологий диктует повышенные требования к квалификации персонала, его ответственности, готов</w:t>
      </w:r>
      <w:r>
        <w:rPr>
          <w:rFonts w:eastAsia="Times New Roman"/>
        </w:rPr>
        <w:t>ности осваивать новые подходы к профессиональной деятельности.</w:t>
      </w:r>
    </w:p>
    <w:p w:rsidR="00000000" w:rsidRDefault="008847E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настоящее время все развитые государства мира реализуют программы формирования систем непрерывного образования (обучения на протяжении всей жизни). Развитые страны смогли обеспечить массовое </w:t>
      </w:r>
      <w:r>
        <w:rPr>
          <w:rFonts w:eastAsia="Times New Roman"/>
        </w:rPr>
        <w:t>участие взрослого населения в программах обучения и тренингах и устойчивую положительную динамику в этой сфере.</w:t>
      </w:r>
    </w:p>
    <w:p w:rsidR="00000000" w:rsidRDefault="008847E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Выраженной тенденцией развития кадрового потенциала в рамках организаций и предприятий становится создание собственных центров и программ обучен</w:t>
      </w:r>
      <w:r>
        <w:rPr>
          <w:rFonts w:eastAsia="Times New Roman"/>
        </w:rPr>
        <w:t>ия персонала. Как показывает практика, работодатели предпочитают доучивать и переучивать своих работников на базе собственных образовательных подразделений. В целом такое положение отвечает мировой тенденции повышения роли внутрифирменной подготовки сотруд</w:t>
      </w:r>
      <w:r>
        <w:rPr>
          <w:rFonts w:eastAsia="Times New Roman"/>
        </w:rPr>
        <w:t>ников. Однако в Республике Таджикистан этот процесс имеет специфическую природу: как правило, ориентация на собственные образовательные подразделения и программы обусловлена тем, что организации (предприятия) не могут найти на рынке необходимых им образова</w:t>
      </w:r>
      <w:r>
        <w:rPr>
          <w:rFonts w:eastAsia="Times New Roman"/>
        </w:rPr>
        <w:t>тельных программ требуемого качества.</w:t>
      </w:r>
    </w:p>
    <w:p w:rsidR="00000000" w:rsidRDefault="008847E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целью увеличения масштабов обучения взрослых налогоплательщики должны включать в состав расходов затраты на обучение по основным и дополнительным профессиональным образовательным программам, профессиональную подготов</w:t>
      </w:r>
      <w:r>
        <w:rPr>
          <w:rFonts w:eastAsia="Times New Roman"/>
        </w:rPr>
        <w:t>ку и переподготовку работников, в том числе при получении ими высшего и среднего специального образования.</w:t>
      </w:r>
    </w:p>
    <w:p w:rsidR="00000000" w:rsidRDefault="008847E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Необходимо создать условия для обеспечения участия в непрерывном образовании определенного количества граждан трудоспособного возраста ежегодно, приб</w:t>
      </w:r>
      <w:r>
        <w:rPr>
          <w:rFonts w:eastAsia="Times New Roman"/>
        </w:rPr>
        <w:t>лизить данное количество год за годом к требованиям международного уровня.</w:t>
      </w:r>
    </w:p>
    <w:p w:rsidR="00000000" w:rsidRDefault="008847E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развития непрерывного образования в Республике Таджикистан необходимо регулярно обеспечить прогресс существующих ресурсов и сделать их отвечающим современным требованиям.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pStyle w:val="4"/>
        <w:rPr>
          <w:rFonts w:eastAsia="Times New Roman"/>
        </w:rPr>
      </w:pPr>
      <w:r>
        <w:rPr>
          <w:rFonts w:eastAsia="Times New Roman"/>
        </w:rPr>
        <w:t>4. П</w:t>
      </w:r>
      <w:r>
        <w:rPr>
          <w:rFonts w:eastAsia="Times New Roman"/>
        </w:rPr>
        <w:t>РИОРИТЕТНЫЕ НАПРАВЛЕНИЯ РАЗВИТИЯ НЕПРЕРЫВНОГО ОБРАЗОВАНИЯ В РЕСПУБЛИКЕ ТАДЖИКИСТАН</w:t>
      </w:r>
    </w:p>
    <w:p w:rsidR="00000000" w:rsidRDefault="008847E0">
      <w:pPr>
        <w:pStyle w:val="5"/>
        <w:rPr>
          <w:rFonts w:eastAsia="Times New Roman"/>
        </w:rPr>
      </w:pPr>
      <w:r>
        <w:rPr>
          <w:rFonts w:eastAsia="Times New Roman"/>
        </w:rPr>
        <w:t>§1. Формирование базовых основ современной системы непрерывного образования на период 2017-2023 гг.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Формирование базовых основ современной системы непрерывного образования</w:t>
      </w:r>
      <w:r>
        <w:rPr>
          <w:rFonts w:eastAsia="Times New Roman"/>
        </w:rPr>
        <w:t xml:space="preserve"> предполагает создание условий, в том числе законодательных, для решения следующих взаимосвязанных задач:</w:t>
      </w:r>
    </w:p>
    <w:p w:rsidR="00000000" w:rsidRDefault="008847E0">
      <w:pPr>
        <w:pStyle w:val="a3"/>
      </w:pPr>
      <w:r>
        <w:t>- развитие конкурентной образовательной среды и ее насыщение разнообразными образовательными услугами;</w:t>
      </w:r>
    </w:p>
    <w:p w:rsidR="00000000" w:rsidRDefault="008847E0">
      <w:pPr>
        <w:pStyle w:val="a3"/>
      </w:pPr>
      <w:r>
        <w:t>- создание инфраструктур непрерывного образован</w:t>
      </w:r>
      <w:r>
        <w:t>ия;</w:t>
      </w:r>
    </w:p>
    <w:p w:rsidR="00000000" w:rsidRDefault="008847E0">
      <w:pPr>
        <w:pStyle w:val="a3"/>
      </w:pPr>
      <w:r>
        <w:t>- внедрение в непрерывном образовании современных технологий обучения;</w:t>
      </w:r>
    </w:p>
    <w:p w:rsidR="00000000" w:rsidRDefault="008847E0">
      <w:pPr>
        <w:pStyle w:val="a3"/>
      </w:pPr>
      <w:r>
        <w:t>- внедрение в непрерывном образовании новых финансовых механизмов.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pStyle w:val="5"/>
        <w:rPr>
          <w:rFonts w:eastAsia="Times New Roman"/>
        </w:rPr>
      </w:pPr>
      <w:r>
        <w:rPr>
          <w:rFonts w:eastAsia="Times New Roman"/>
        </w:rPr>
        <w:t>§2. Развитие конкурентной образовательной среды и ее насыщение разнообразными образовательными услугами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Увелич</w:t>
      </w:r>
      <w:r>
        <w:rPr>
          <w:rFonts w:eastAsia="Times New Roman"/>
        </w:rPr>
        <w:t>ение спроса экономики на высококвалифицированные кадры предъявляет повышенные требования к организациям, реализующим программы непрерывного образования. С целью обеспечения требуемого инновационной экономикой уровня квалификации работников должна быть реал</w:t>
      </w:r>
      <w:r>
        <w:rPr>
          <w:rFonts w:eastAsia="Times New Roman"/>
        </w:rPr>
        <w:t>изована программа поддержки организаций (в том числе вузов), реализующих сетевые программы непрерывного образования.</w:t>
      </w:r>
    </w:p>
    <w:p w:rsidR="00000000" w:rsidRDefault="008847E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Должна получить развитие практика реализации пилотных проектов, направленных на развитие региональных сегментов непрерывного образования. Э</w:t>
      </w:r>
      <w:r>
        <w:rPr>
          <w:rFonts w:eastAsia="Times New Roman"/>
        </w:rPr>
        <w:t>ти проекты будут предусматривать формирование регионального потенциала непрерывного образования: центров квалификаций на базе существующих учреждений начального и среднего профессионального образования, центров обучения взрослых, корпоративных центров подг</w:t>
      </w:r>
      <w:r>
        <w:rPr>
          <w:rFonts w:eastAsia="Times New Roman"/>
        </w:rPr>
        <w:t>отовки, специализированных сайтов и порталов, сертификационных центров, профессиональных стандартов и т.д.</w:t>
      </w:r>
    </w:p>
    <w:p w:rsidR="00000000" w:rsidRDefault="008847E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Получит развитие система образовательного консультирования в области непрерывного образования, как на базе государственных служб занятости, так и в коммерческом секторе. Одним из основных видов деятельности служб занятости станет содействие профессионально</w:t>
      </w:r>
      <w:r>
        <w:rPr>
          <w:rFonts w:eastAsia="Times New Roman"/>
        </w:rPr>
        <w:t>му совершенствованию граждан. При этом программы непрерывного образования будут значительно активнее предлагаться учреждениями базового профессионального образования, которым предстоит расширить спектр предоставляемых образовательных услуг в соответствии с</w:t>
      </w:r>
      <w:r>
        <w:rPr>
          <w:rFonts w:eastAsia="Times New Roman"/>
        </w:rPr>
        <w:t xml:space="preserve"> запросами граждан и рынка труда.</w:t>
      </w:r>
    </w:p>
    <w:p w:rsidR="00000000" w:rsidRDefault="008847E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Необходимо шире использовать практику целевой подготовки кадров для бюджетной сферы и приоритетных отраслей экономики на базе программ непрерывного образования, реализуемых отобранными на конкурсной основе вузами и другими</w:t>
      </w:r>
      <w:r>
        <w:rPr>
          <w:rFonts w:eastAsia="Times New Roman"/>
        </w:rPr>
        <w:t xml:space="preserve"> учреждениями профессионального образования.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pStyle w:val="5"/>
        <w:rPr>
          <w:rFonts w:eastAsia="Times New Roman"/>
        </w:rPr>
      </w:pPr>
      <w:r>
        <w:rPr>
          <w:rFonts w:eastAsia="Times New Roman"/>
        </w:rPr>
        <w:t>§3. Создание инфраструктуры непрерывного образования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Официальное признание квалификаций, полученных. в неформальном образовании и спонтанном обучении, станет одним из эффективных механизмов развития конкурен</w:t>
      </w:r>
      <w:r>
        <w:rPr>
          <w:rFonts w:eastAsia="Times New Roman"/>
        </w:rPr>
        <w:t xml:space="preserve">ции в сфере предоставления услуг непрерывного образования, повысит результативность и практическую ориентацию учебных программ. С этой целью будет необходимо создать систему процедур сертификации профессиональных квалификаций (в том числе для работников с </w:t>
      </w:r>
      <w:r>
        <w:rPr>
          <w:rFonts w:eastAsia="Times New Roman"/>
        </w:rPr>
        <w:t>высшим образованием и выпускников вузов). В ряде отраслей сертификационные центры могут иметь международный характер. Система сертификации должна быть доступной для всех граждан Республики Таджикистан. Сертификация должна проводиться в соответствии с персп</w:t>
      </w:r>
      <w:r>
        <w:rPr>
          <w:rFonts w:eastAsia="Times New Roman"/>
        </w:rPr>
        <w:t>ективными квалификационными требованиями (профессиональными стандартами), сформированными с участием работодателей.</w:t>
      </w:r>
    </w:p>
    <w:p w:rsidR="00000000" w:rsidRDefault="008847E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систематизации обобщенных характеристик требований к работникам всех квалификационных уровней, установленных в Республике Таджикистан, д</w:t>
      </w:r>
      <w:r>
        <w:rPr>
          <w:rFonts w:eastAsia="Times New Roman"/>
        </w:rPr>
        <w:t xml:space="preserve">олжна быть внедрена и периодически обновляться национальная рамка квалификаций. Национальная рамка квалификаций Республики Таджикистан будет представлять собой обобщенное описание квалификационных уровней с учетом профессиональных стандартов. Национальная </w:t>
      </w:r>
      <w:r>
        <w:rPr>
          <w:rFonts w:eastAsia="Times New Roman"/>
        </w:rPr>
        <w:t>квалификационная рамка позволит соотносить актуальные требования к знаниям, навыкам, компетенциям работников и образовательные результаты программ непрерывного образования, а также послужит инструментом осуществления реальной связи профессиональных и образ</w:t>
      </w:r>
      <w:r>
        <w:rPr>
          <w:rFonts w:eastAsia="Times New Roman"/>
        </w:rPr>
        <w:t>овательных стандартов.</w:t>
      </w:r>
    </w:p>
    <w:p w:rsidR="00000000" w:rsidRDefault="008847E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Государство будет содействовать построению системы эффективного взаимодействия общественно-профессиональных организаций и ассоциаций работодателей с организациями; предоставляющими услуги непрерывного образования. Это предполагает вн</w:t>
      </w:r>
      <w:r>
        <w:rPr>
          <w:rFonts w:eastAsia="Times New Roman"/>
        </w:rPr>
        <w:t>едрение системы аккредитации и формирования рейтингов программ непрерывного образования.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pStyle w:val="5"/>
        <w:rPr>
          <w:rFonts w:eastAsia="Times New Roman"/>
        </w:rPr>
      </w:pPr>
      <w:r>
        <w:rPr>
          <w:rFonts w:eastAsia="Times New Roman"/>
        </w:rPr>
        <w:t>§4. Внедрение современных технологий обучения в непрерывном образовании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Укоренившиеся в системе дополнительного профессионального образования методы преподавания н</w:t>
      </w:r>
      <w:r>
        <w:rPr>
          <w:rFonts w:eastAsia="Times New Roman"/>
        </w:rPr>
        <w:t>е обеспечивают формирования практической способности слушателей к действиям в динамично изменяющихся экономических условиях. По большей части дополнительное профессиональное образование в Республике Таджикистан до сих пор базируется на традиционных методах</w:t>
      </w:r>
      <w:r>
        <w:rPr>
          <w:rFonts w:eastAsia="Times New Roman"/>
        </w:rPr>
        <w:t xml:space="preserve"> обучения.</w:t>
      </w:r>
    </w:p>
    <w:p w:rsidR="00000000" w:rsidRDefault="008847E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рамках реализации Концепции должна быть решена проблема перехода непрерывного профессионального образования на новые технологии обучения. С целью широкого распространения современных технологий обучения в системе непрерывного образования долже</w:t>
      </w:r>
      <w:r>
        <w:rPr>
          <w:rFonts w:eastAsia="Times New Roman"/>
        </w:rPr>
        <w:t>н быть создан национальный депозитарий образовательных модулей и электронных образовательных ресурсов.</w:t>
      </w:r>
    </w:p>
    <w:p w:rsidR="00000000" w:rsidRDefault="008847E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Новые технологии в образовании на базе активных методов обучения (дистанционное обучение на базе ИКТ, тренажерные комплексы, деловые игры, проектные мето</w:t>
      </w:r>
      <w:r>
        <w:rPr>
          <w:rFonts w:eastAsia="Times New Roman"/>
        </w:rPr>
        <w:t>ды обучения, стажировки и т.п.) повысят эффективность образования. Это обеспечит формирование у слушателей программ непрерывного образования не только устойчивых знаний, но и способности применять эти знания в практической деятельности.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pStyle w:val="5"/>
        <w:rPr>
          <w:rFonts w:eastAsia="Times New Roman"/>
        </w:rPr>
      </w:pPr>
      <w:r>
        <w:rPr>
          <w:rFonts w:eastAsia="Times New Roman"/>
        </w:rPr>
        <w:t>§5. Внедрение нов</w:t>
      </w:r>
      <w:r>
        <w:rPr>
          <w:rFonts w:eastAsia="Times New Roman"/>
        </w:rPr>
        <w:t>ых финансовых механизмов в непрерывном образовании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Важное значение имеет повышение эффективности бюджетного сектора экономики. Это в полной мере касается реализации программ повышения квалификации и профессиональной переподготовки работников органов госу</w:t>
      </w:r>
      <w:r>
        <w:rPr>
          <w:rFonts w:eastAsia="Times New Roman"/>
        </w:rPr>
        <w:t>дарственного управления, подведомственных учреждений, а также резерва управленческих кадров для государственной службы. Для этого будет разработана и внедрена система финансирования непрерывного образования. Органы исполнительной власти, государственные уч</w:t>
      </w:r>
      <w:r>
        <w:rPr>
          <w:rFonts w:eastAsia="Times New Roman"/>
        </w:rPr>
        <w:t>реждения, организации бюджетной сферы и сами слушатели должны получить право выбора программ непрерывного образования на основе гибких механизмов финансирования обучения.</w:t>
      </w:r>
    </w:p>
    <w:p w:rsidR="00000000" w:rsidRDefault="008847E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повышения финансовой обеспеченности программ непрерывного образования будет необх</w:t>
      </w:r>
      <w:r>
        <w:rPr>
          <w:rFonts w:eastAsia="Times New Roman"/>
        </w:rPr>
        <w:t>одимо шире использовать принципы частно-государственного партнерства, в том числе использование различных моделей софинансирования обучения слушателей программ непрерывного образования за счет бюджетных и внебюджетных источников, привлечения внебюджетных с</w:t>
      </w:r>
      <w:r>
        <w:rPr>
          <w:rFonts w:eastAsia="Times New Roman"/>
        </w:rPr>
        <w:t>редств на цели развития учреждений и организаций, реализующих программы непрерывного образования.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pStyle w:val="4"/>
        <w:rPr>
          <w:rFonts w:eastAsia="Times New Roman"/>
        </w:rPr>
      </w:pPr>
      <w:r>
        <w:rPr>
          <w:rFonts w:eastAsia="Times New Roman"/>
        </w:rPr>
        <w:t>5. ИСТОЧНИКИ ФИНАНСИРОВАНИЯ И МЕХАНИЗМЫ РЕАЛИЗАЦИИ КОНЦЕПЦИИ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Основным источником финансирования Концепции составляют предусмотренные из государственного б</w:t>
      </w:r>
      <w:r>
        <w:rPr>
          <w:rFonts w:eastAsia="Times New Roman"/>
        </w:rPr>
        <w:t>юджета средства, вложения и специальные средства предприятий и организаций, привлечение частных средств. Финансирование Концепции осуществляется в рамках Среднесрочной программы государственных расходов на соответствующие отрасли.</w:t>
      </w:r>
    </w:p>
    <w:p w:rsidR="00000000" w:rsidRDefault="008847E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Для реализации Концепции будут задействованы законодательные, общественные, организационные и ресурсные механизмы. Особый акцент будет сделан на законодательном обеспечении институциональных и инфраструктурных изменений в области непрерывного образования. </w:t>
      </w:r>
      <w:r>
        <w:rPr>
          <w:rFonts w:eastAsia="Times New Roman"/>
        </w:rPr>
        <w:t>При разработке законодательных актов в полном объеме будут учитываться основные положения Концепции.</w:t>
      </w:r>
    </w:p>
    <w:p w:rsidR="00000000" w:rsidRDefault="008847E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Внедрение общественных механизмов управления развитием системы непрерывного образования предполагает широкое участие представителей ассоциаций работодателе</w:t>
      </w:r>
      <w:r>
        <w:rPr>
          <w:rFonts w:eastAsia="Times New Roman"/>
        </w:rPr>
        <w:t>й и общественно-профессиональных организаций в формировании требований к образовательным результатам программ непрерывного образования, мониторинге качества их реализации.</w:t>
      </w:r>
    </w:p>
    <w:p w:rsidR="00000000" w:rsidRDefault="008847E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рамках организационного сопровождения содержательного и технологического развития </w:t>
      </w:r>
      <w:r>
        <w:rPr>
          <w:rFonts w:eastAsia="Times New Roman"/>
        </w:rPr>
        <w:t xml:space="preserve">сферы непрерывного образования необходимо создание самофинансируемых опорных методических центров развития непрерывного образования во всех регионах Республики Таджикистан. Основная цель этих центров - обеспечить научно-методическую поддержку формирования </w:t>
      </w:r>
      <w:r>
        <w:rPr>
          <w:rFonts w:eastAsia="Times New Roman"/>
        </w:rPr>
        <w:t>в Республике Таджикистан современной сферы непрерывного образования.</w:t>
      </w:r>
    </w:p>
    <w:p w:rsidR="00000000" w:rsidRDefault="008847E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качестве механизмов ресурсного обеспечения реализации Концепции наряду с механизмами, применяемыми при реализации отраслевых программ, будут применяться инновационные механизмы, отработ</w:t>
      </w:r>
      <w:r>
        <w:rPr>
          <w:rFonts w:eastAsia="Times New Roman"/>
        </w:rPr>
        <w:t>анные и доказавшие свою высокую эффективность в рамках реализации приоритетных национальных проектов в сфере образования, принципы частно-государственного партнерства.</w:t>
      </w:r>
    </w:p>
    <w:p w:rsidR="00000000" w:rsidRDefault="008847E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первую очередь, это механизм конкурсной поддержки в непрерывном образовании инновацион</w:t>
      </w:r>
      <w:r>
        <w:rPr>
          <w:rFonts w:eastAsia="Times New Roman"/>
        </w:rPr>
        <w:t>ных, "пилотных" программ и проектов образовательных учреждений и организаций, обеспечивающих решение поставленных задач, выполнение заданных требований.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pStyle w:val="4"/>
        <w:rPr>
          <w:rFonts w:eastAsia="Times New Roman"/>
        </w:rPr>
      </w:pPr>
      <w:r>
        <w:rPr>
          <w:rFonts w:eastAsia="Times New Roman"/>
        </w:rPr>
        <w:t>6. МОНИТОРИНГ СОЦИАЛЬНО-ЭКОНОМИЧЕСКОЙ ЭФФЕКТИВНОСТИ РЕАЛИЗАЦИИ КОНЦЕПЦИИ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Социально-экономическая эф</w:t>
      </w:r>
      <w:r>
        <w:rPr>
          <w:rFonts w:eastAsia="Times New Roman"/>
        </w:rPr>
        <w:t>фективность реализации Концепции развития системы непрерывного образования определяется с помощью системы целевых показателей, отражающих приоритеты развития страны.</w:t>
      </w:r>
    </w:p>
    <w:p w:rsidR="00000000" w:rsidRDefault="008847E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выборе показателен и индикаторов используются достоверные, сравнимые и доступные данны</w:t>
      </w:r>
      <w:r>
        <w:rPr>
          <w:rFonts w:eastAsia="Times New Roman"/>
        </w:rPr>
        <w:t>е. Показатели, отражающие социально-экономическую эффективность реализации Концепции:</w:t>
      </w:r>
    </w:p>
    <w:p w:rsidR="00000000" w:rsidRDefault="008847E0">
      <w:pPr>
        <w:pStyle w:val="a3"/>
      </w:pPr>
      <w:r>
        <w:t>- повышение доли занятого населения в возрасте свыше 25 лет, прошедшего на протяжении последнего года повышение квалификации и/или переподготовку, в общей численности зан</w:t>
      </w:r>
      <w:r>
        <w:t>ятого в экономике населения данной возрастной группы - не менее 5 процентов ежегодно;</w:t>
      </w:r>
    </w:p>
    <w:p w:rsidR="00000000" w:rsidRDefault="008847E0">
      <w:pPr>
        <w:pStyle w:val="a3"/>
      </w:pPr>
      <w:r>
        <w:t>- повышение доли освоивших в течение года программы подготовки и/или переподготовки и повышения квалификации кадров за счет финансирования предприятий и организаций от об</w:t>
      </w:r>
      <w:r>
        <w:t>щего числа обучавшихся по таким программам - не менее 5 процентов ежегодно;</w:t>
      </w:r>
    </w:p>
    <w:p w:rsidR="00000000" w:rsidRDefault="008847E0">
      <w:pPr>
        <w:pStyle w:val="a3"/>
      </w:pPr>
      <w:r>
        <w:t>- количество центров сертификации квалификаций по всей стране создание не менее 5 самофинансируемых центров ежегодно.</w:t>
      </w:r>
    </w:p>
    <w:p w:rsidR="00000000" w:rsidRDefault="008847E0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По итогам реализации Концепции планируется достижение целевых </w:t>
      </w:r>
      <w:r>
        <w:rPr>
          <w:rFonts w:eastAsia="Times New Roman"/>
        </w:rPr>
        <w:t>показателей социально-экономической эффективности развития системы непрерывного образования в Республике Таджикистан согласно пункту 41 Концепции.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pStyle w:val="4"/>
        <w:rPr>
          <w:rFonts w:eastAsia="Times New Roman"/>
        </w:rPr>
      </w:pPr>
      <w:r>
        <w:rPr>
          <w:rFonts w:eastAsia="Times New Roman"/>
        </w:rPr>
        <w:t>7. ОЖИДАЕМЫЕ РЕЗУЛЬТАТЫ ОТ РЕАЛИЗАЦИИ КОНЦЕПЦИИ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Формирование до 2023 года базовых основ современной систе</w:t>
      </w:r>
      <w:r>
        <w:rPr>
          <w:rFonts w:eastAsia="Times New Roman"/>
        </w:rPr>
        <w:t>мы непрерывного образования позволит в дальнейшем построить систему непрерывного образования, способную решить задачу обеспечения кадрами инновационной экономики и всестороннего развития граждан Республики Таджикистан.</w:t>
      </w:r>
    </w:p>
    <w:p w:rsidR="00000000" w:rsidRDefault="008847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Начальное и среднее профессиональное </w:t>
      </w:r>
      <w:r>
        <w:rPr>
          <w:rFonts w:eastAsia="Times New Roman"/>
        </w:rPr>
        <w:t>образование, реализуя модульный принцип построения образовательных программ, должно стать в ряде отраслей важной составной частью системы непрерывного образования. Ряд учреждений начального и среднего профессионального образования будут признаны в качестве</w:t>
      </w:r>
      <w:r>
        <w:rPr>
          <w:rFonts w:eastAsia="Times New Roman"/>
        </w:rPr>
        <w:t xml:space="preserve"> "центров квалификаций". На базе этих центров будут реализовываться, наряду с образовательными программами для получающих профессиональное образование впервые, программы повышения квалификации и переподготовки рабочих и специалистов. В формировании таких ц</w:t>
      </w:r>
      <w:r>
        <w:rPr>
          <w:rFonts w:eastAsia="Times New Roman"/>
        </w:rPr>
        <w:t>ентров и их оснащении современным оборудованием смогут принять участие предприятия и организации. В определении основных направлений подготовки в таких центрах смогут принимать участие представители работодателей, органы государственной власти, профсоюзные</w:t>
      </w:r>
      <w:r>
        <w:rPr>
          <w:rFonts w:eastAsia="Times New Roman"/>
        </w:rPr>
        <w:t xml:space="preserve"> организации.</w:t>
      </w:r>
    </w:p>
    <w:p w:rsidR="00000000" w:rsidRDefault="008847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Стремительное обновление технологий диктует необходимость предоставления в дальнейшем согласно требованиям законодательства права на подготовку, переподготовку и повышение квалификации организациям, не являющимся образовательными. Интенсивные</w:t>
      </w:r>
      <w:r>
        <w:rPr>
          <w:rFonts w:eastAsia="Times New Roman"/>
        </w:rPr>
        <w:t xml:space="preserve"> программы и тренинги будут реализовывать только там, где есть современные действующие технологии, лучшие методы организации и управления.</w:t>
      </w:r>
    </w:p>
    <w:p w:rsidR="00000000" w:rsidRDefault="008847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Должна формироваться полномасштабная система аккредитации программ и модулей непрерывного образования.</w:t>
      </w:r>
    </w:p>
    <w:p w:rsidR="00000000" w:rsidRDefault="008847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Характер совре</w:t>
      </w:r>
      <w:r>
        <w:rPr>
          <w:rFonts w:eastAsia="Times New Roman"/>
        </w:rPr>
        <w:t>менной трудовой деятельности требует перехода на модульные принципы организации программ непрерывного образования. Должна быть создана нормативная база, обеспечивающая преемственность обучения, от коротких модулей до средне- и долгосрочных программ, направ</w:t>
      </w:r>
      <w:r>
        <w:rPr>
          <w:rFonts w:eastAsia="Times New Roman"/>
        </w:rPr>
        <w:t xml:space="preserve">ленных на развитие востребованных современной экономикой компетенций. При необходимости будет предусмотрена возможность прохождения отдельных модулей программы непрерывного образования в различных учебных заведениях и организациях, обеспечивающих наиболее </w:t>
      </w:r>
      <w:r>
        <w:rPr>
          <w:rFonts w:eastAsia="Times New Roman"/>
        </w:rPr>
        <w:t>высокий уровень подготовки. Будет разработана система зачетных единиц, которая позволит в полной мере учитывать образовательные результаты, полученные в непрерывном образовании, в программах базового профессионального образования. Система зачетных единиц п</w:t>
      </w:r>
      <w:r>
        <w:rPr>
          <w:rFonts w:eastAsia="Times New Roman"/>
        </w:rPr>
        <w:t>озволит в отдельных случаях засчитывать в качестве образовательных результатов подтвержденный практический опыт работников.</w:t>
      </w:r>
    </w:p>
    <w:p w:rsidR="00000000" w:rsidRDefault="008847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Неотъемлемым элементом развития непрерывного профессионального образования станет система подготовки и переподготовки преподавателей</w:t>
      </w:r>
      <w:r>
        <w:rPr>
          <w:rFonts w:eastAsia="Times New Roman"/>
        </w:rPr>
        <w:t>, их сертификации уполномоченным государственным органом, обмена профессиональными знаниями и опытом преподавания, охватывающая государственные и частные организации, оказывающие услуги непрерывного образования.</w:t>
      </w:r>
    </w:p>
    <w:p w:rsidR="00000000" w:rsidRDefault="008847E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Перспективным направлением развития непрерывного образования следует признать также создание на конкурсной основе на принципах государственно-частного партнерства центров в области образовательно-технологических разработок. Эти центры за счет концентрации </w:t>
      </w:r>
      <w:r>
        <w:rPr>
          <w:rFonts w:eastAsia="Times New Roman"/>
        </w:rPr>
        <w:t>интеллектуальных и организационных ресурсов должны обеспечить создание конкурентоспособных образовательных технологий для широкого использования в системе непрерывного образования.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pStyle w:val="a3"/>
      </w:pPr>
      <w:r>
        <w:t>*Приложение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pStyle w:val="a3"/>
      </w:pPr>
      <w:r>
        <w:t>Приложение. 2</w:t>
      </w:r>
    </w:p>
    <w:p w:rsidR="00000000" w:rsidRDefault="008847E0">
      <w:pPr>
        <w:pStyle w:val="a3"/>
      </w:pPr>
      <w:r>
        <w:t>к постановлению Правительства</w:t>
      </w:r>
    </w:p>
    <w:p w:rsidR="00000000" w:rsidRDefault="008847E0">
      <w:pPr>
        <w:pStyle w:val="a3"/>
      </w:pPr>
      <w:r>
        <w:t>Республики Тадж</w:t>
      </w:r>
      <w:r>
        <w:t>икистан</w:t>
      </w:r>
    </w:p>
    <w:p w:rsidR="00000000" w:rsidRDefault="008847E0">
      <w:pPr>
        <w:pStyle w:val="a3"/>
      </w:pPr>
      <w:r>
        <w:t>от  25 января   2017 года, № 28</w:t>
      </w:r>
    </w:p>
    <w:p w:rsidR="00000000" w:rsidRDefault="008847E0">
      <w:pPr>
        <w:pStyle w:val="a3"/>
      </w:pPr>
      <w:r>
        <w:t> </w:t>
      </w:r>
    </w:p>
    <w:p w:rsidR="00000000" w:rsidRDefault="008847E0">
      <w:pPr>
        <w:pStyle w:val="a3"/>
      </w:pPr>
      <w:r>
        <w:rPr>
          <w:rStyle w:val="a6"/>
        </w:rPr>
        <w:t>План мероприятий по реализации Концепции  непрерывного образования в Республике Таджикистан на 2017- 2023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3714"/>
        <w:gridCol w:w="2995"/>
        <w:gridCol w:w="1736"/>
      </w:tblGrid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 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Мероприятия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Ответственные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Срок выполнения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1.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Разработка нормативно-правовой базы непрерывного образования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2017-2018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Создание само финансируемых центров и собственных программ обучения персонала в организа</w:t>
            </w:r>
            <w:r>
              <w:t>циях и предприятиях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Соотвествующие министерства и ведомства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2017-2019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3.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 xml:space="preserve">Прогнозирование     затрат     на обучение     по      основным     и дополнительным профессиональным образовательным    </w:t>
            </w:r>
            <w:r>
              <w:t>программам, профессиональную подготовку и переподготовку   работников,   в том числе при получении ими высшего            и           среднего специального     образования     в смете          расходов          своих специальных счётов со стороны всех нало</w:t>
            </w:r>
            <w:r>
              <w:t>гоплательщиков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экономического развития и торговли, Министерство финансов, соотвествующие министерства и ведомства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2017-2023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4.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Разработка и выполнение программ поддержки организаций (в том числе вузов), реализующих программы непрерывного образования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2018-2019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5.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Реализация пилотных проект</w:t>
            </w:r>
            <w:r>
              <w:t>ов, направленных на развитие региональных сегментов непрерывного образования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2018-2023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6.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Создание самофинансируемых центров квалификаций на базе существующих учреждений начального и среднего профессионального образования, обучения взрослых, корпоративных центров подготовки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</w:t>
            </w:r>
            <w:r>
              <w:t>ости населения, соотвествующие министерства и ведомства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2017-2023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7.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Создание специализированных сайтов и порталов по непрерывному образованию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2018-2023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8</w:t>
            </w:r>
            <w:r>
              <w:rPr>
                <w:rStyle w:val="a6"/>
              </w:rPr>
              <w:t>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Создание самофинансируемых сертификационных центров по непрерывному образованию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2018-2023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9.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Разработка профессиональных стандартов по непрерывному образованию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2017-2023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10.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 xml:space="preserve">Создание                          системы образовательного , консультирования     в     области непрерывного    образования   на базе     </w:t>
            </w:r>
            <w:r>
              <w:t>государственных     служб занятости и в частном секторе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2018-2023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11.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Осуществление   на   конкурсной основе     вузами     и     другими учреждениями профессиона</w:t>
            </w:r>
            <w:r>
              <w:t>льного образования целевого обучения по подготовке кадров для бюджетной сферы и приоритетных                отраслей экономики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2018-2023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12.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Создание системы процедур сертификации профессиональных квалификаций (в том числе для работников с высшим образованием и выпускников вузов)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2017-2018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13.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Создание</w:t>
            </w:r>
            <w:r>
              <w:t xml:space="preserve"> национальной рамки квалификаций и периодическое ее обновление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2017-2018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14.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Внедрение системы аккредитации и формирования рейтингов программ непрерывного образования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2017-2018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15.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Широкое распространение использования современных технологий обучения в системе непрерывного образования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2017-2023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16.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Создание национальный депозитарий образоват</w:t>
            </w:r>
            <w:r>
              <w:t>ельных модулей и электронных образовательных ресурсов по непрерывному образованию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2018-2023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17.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Внедрение дистанционного обучения на базе ИКТ в непрерывном образовании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2018-2023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18.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Правовое обеспечение институциональных и инфраструктурных изменений в област</w:t>
            </w:r>
            <w:r>
              <w:t>и непрерывного образования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2019-2023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19.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Обеспечение широкого участия представителей ассоциаций работодателей и общественно-профессиональных организаций в формировании требований к образовательным      результатам программ непрерывного образования и мониторинге качества их реализации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</w:t>
            </w:r>
            <w:r>
              <w:t>о образования и науки, Министерство труда, миграции и занятости населения, со отвествующие министерства и ведомства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2018-2023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Создание само финансируемых опорных методических центров развития непрерывного образования во всех регионах Республики</w:t>
            </w:r>
            <w:r>
              <w:t xml:space="preserve"> Таджикистан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2019-2023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21.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Признание ряд учреждений начального и среднего профессионального образования в качестве «центров повышения квалификаций»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2020-2023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22.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Создание полномасштабной системы аккредитации программ и модулей непрерывного образования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</w:t>
            </w:r>
            <w:r>
              <w:t>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2019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23.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Разработка системы зачетных единиц, которая позволит в полной мере учитывать образовательные результаты, полученные в непрерывном образовании и в программах базового профессионального образования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2018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24.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Создание    центров    в    области образовательно-технологических разработок       на       принципах государственно-частного партнерства за счёт учредит</w:t>
            </w:r>
            <w:r>
              <w:t>елей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 населения, соотвествующие министерства и ведомства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2020-2023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25.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Проведение конференций, семинаров, консультаций и тренингов по непрерывному образованию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  населения,  , соотвествующие министерства и ведомства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Постоянно</w:t>
            </w:r>
          </w:p>
        </w:tc>
      </w:tr>
      <w:tr w:rsidR="00000000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000000" w:rsidRDefault="008847E0">
            <w:pPr>
              <w:pStyle w:val="a3"/>
            </w:pPr>
            <w:r>
              <w:t>26.</w:t>
            </w:r>
          </w:p>
        </w:tc>
        <w:tc>
          <w:tcPr>
            <w:tcW w:w="378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Мониторинг социально-экономической эффективности реализации Концепции  с помощью показателей и индикатор</w:t>
            </w:r>
            <w:r>
              <w:t>ов</w:t>
            </w:r>
          </w:p>
        </w:tc>
        <w:tc>
          <w:tcPr>
            <w:tcW w:w="3060" w:type="dxa"/>
            <w:vAlign w:val="center"/>
            <w:hideMark/>
          </w:tcPr>
          <w:p w:rsidR="00000000" w:rsidRDefault="008847E0">
            <w:pPr>
              <w:pStyle w:val="a3"/>
            </w:pPr>
            <w:r>
              <w:t>Министерство образования и науки, Министерство труда, миграции и занятости  населения,   Агентство по статистике</w:t>
            </w:r>
          </w:p>
        </w:tc>
        <w:tc>
          <w:tcPr>
            <w:tcW w:w="1725" w:type="dxa"/>
            <w:vAlign w:val="center"/>
            <w:hideMark/>
          </w:tcPr>
          <w:p w:rsidR="00000000" w:rsidRDefault="008847E0">
            <w:pPr>
              <w:pStyle w:val="a3"/>
            </w:pPr>
            <w:r>
              <w:t>Ежегодно</w:t>
            </w:r>
          </w:p>
        </w:tc>
      </w:tr>
    </w:tbl>
    <w:p w:rsidR="008847E0" w:rsidRDefault="008847E0">
      <w:pPr>
        <w:pStyle w:val="a3"/>
      </w:pPr>
      <w:r>
        <w:t> </w:t>
      </w:r>
    </w:p>
    <w:sectPr w:rsidR="0088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63A"/>
    <w:multiLevelType w:val="multilevel"/>
    <w:tmpl w:val="4B765DC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7C58"/>
    <w:multiLevelType w:val="multilevel"/>
    <w:tmpl w:val="2006C6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C782E"/>
    <w:multiLevelType w:val="multilevel"/>
    <w:tmpl w:val="7880244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305EF"/>
    <w:multiLevelType w:val="multilevel"/>
    <w:tmpl w:val="92368C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D0E2E"/>
    <w:multiLevelType w:val="multilevel"/>
    <w:tmpl w:val="6F1E350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A4BA4"/>
    <w:multiLevelType w:val="multilevel"/>
    <w:tmpl w:val="A516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A17D3"/>
    <w:multiLevelType w:val="multilevel"/>
    <w:tmpl w:val="6B0063A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D4FB8"/>
    <w:multiLevelType w:val="multilevel"/>
    <w:tmpl w:val="F830CE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569E3"/>
    <w:multiLevelType w:val="multilevel"/>
    <w:tmpl w:val="E1B68B3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C07A9"/>
    <w:multiLevelType w:val="multilevel"/>
    <w:tmpl w:val="0B02A3A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353ED"/>
    <w:multiLevelType w:val="multilevel"/>
    <w:tmpl w:val="CC903C8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D4773"/>
    <w:multiLevelType w:val="multilevel"/>
    <w:tmpl w:val="8E80497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F536A9"/>
    <w:multiLevelType w:val="multilevel"/>
    <w:tmpl w:val="4E0A2E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91BDF"/>
    <w:rsid w:val="008847E0"/>
    <w:rsid w:val="00C9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542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4889</Words>
  <Characters>27869</Characters>
  <Application>Microsoft Office Word</Application>
  <DocSecurity>0</DocSecurity>
  <Lines>232</Lines>
  <Paragraphs>65</Paragraphs>
  <ScaleCrop>false</ScaleCrop>
  <Company/>
  <LinksUpToDate>false</LinksUpToDate>
  <CharactersWithSpaces>32693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2018-10-30T05:30:00Z</dcterms:created>
  <dcterms:modified xsi:type="dcterms:W3CDTF">2018-10-30T05:30:00Z</dcterms:modified>
</cp:coreProperties>
</file>